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B" w:rsidRDefault="009A185B" w:rsidP="009A185B">
      <w:pPr>
        <w:pStyle w:val="a3"/>
        <w:tabs>
          <w:tab w:val="left" w:pos="55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9A185B" w:rsidRDefault="009A185B" w:rsidP="009A185B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A185B" w:rsidRDefault="009A185B" w:rsidP="009A185B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A185B" w:rsidRDefault="009A185B" w:rsidP="009A185B">
      <w:pPr>
        <w:widowControl w:val="0"/>
        <w:ind w:right="-1"/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>
        <w:rPr>
          <w:b/>
          <w:sz w:val="36"/>
        </w:rPr>
        <w:t xml:space="preserve"> созыв</w:t>
      </w:r>
    </w:p>
    <w:p w:rsidR="009A185B" w:rsidRDefault="009A185B" w:rsidP="009A185B">
      <w:pPr>
        <w:widowControl w:val="0"/>
        <w:ind w:right="-1"/>
        <w:jc w:val="center"/>
        <w:rPr>
          <w:b/>
          <w:sz w:val="36"/>
        </w:rPr>
      </w:pPr>
    </w:p>
    <w:p w:rsidR="009A185B" w:rsidRDefault="009A185B" w:rsidP="009A185B">
      <w:pPr>
        <w:pStyle w:val="1"/>
        <w:keepNext w:val="0"/>
        <w:widowControl w:val="0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9A185B" w:rsidRPr="00036713" w:rsidRDefault="009A185B" w:rsidP="009A185B"/>
    <w:tbl>
      <w:tblPr>
        <w:tblW w:w="15777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5249"/>
        <w:gridCol w:w="119"/>
        <w:gridCol w:w="170"/>
        <w:gridCol w:w="4082"/>
        <w:gridCol w:w="170"/>
        <w:gridCol w:w="33"/>
      </w:tblGrid>
      <w:tr w:rsidR="009A185B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534" w:type="dxa"/>
            <w:gridSpan w:val="2"/>
          </w:tcPr>
          <w:p w:rsidR="009A185B" w:rsidRDefault="009A185B" w:rsidP="009A185B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5B" w:rsidRPr="00CA60A9" w:rsidRDefault="00CA60A9" w:rsidP="009A185B">
            <w:pPr>
              <w:widowControl w:val="0"/>
              <w:rPr>
                <w:b/>
                <w:i/>
              </w:rPr>
            </w:pPr>
            <w:r w:rsidRPr="00CA60A9">
              <w:rPr>
                <w:b/>
                <w:i/>
              </w:rPr>
              <w:t>25.10.2012</w:t>
            </w:r>
          </w:p>
        </w:tc>
        <w:tc>
          <w:tcPr>
            <w:tcW w:w="449" w:type="dxa"/>
          </w:tcPr>
          <w:p w:rsidR="009A185B" w:rsidRDefault="009A185B" w:rsidP="009A185B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85B" w:rsidRPr="00CA60A9" w:rsidRDefault="00CA60A9" w:rsidP="009A185B">
            <w:pPr>
              <w:widowControl w:val="0"/>
              <w:rPr>
                <w:b/>
                <w:i/>
              </w:rPr>
            </w:pPr>
            <w:r w:rsidRPr="00CA60A9">
              <w:rPr>
                <w:b/>
                <w:i/>
              </w:rPr>
              <w:t>61-67-12-71</w:t>
            </w:r>
          </w:p>
        </w:tc>
        <w:tc>
          <w:tcPr>
            <w:tcW w:w="5368" w:type="dxa"/>
            <w:gridSpan w:val="2"/>
            <w:vMerge w:val="restart"/>
          </w:tcPr>
          <w:p w:rsidR="009A185B" w:rsidRDefault="009A185B" w:rsidP="009A185B">
            <w:pPr>
              <w:widowControl w:val="0"/>
            </w:pPr>
          </w:p>
        </w:tc>
        <w:tc>
          <w:tcPr>
            <w:tcW w:w="170" w:type="dxa"/>
          </w:tcPr>
          <w:p w:rsidR="009A185B" w:rsidRDefault="009A185B" w:rsidP="009A185B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9A185B" w:rsidRDefault="009A185B" w:rsidP="009A185B">
            <w:pPr>
              <w:widowControl w:val="0"/>
              <w:rPr>
                <w:sz w:val="28"/>
              </w:rPr>
            </w:pPr>
          </w:p>
          <w:p w:rsidR="009A185B" w:rsidRDefault="009A185B" w:rsidP="009A185B">
            <w:pPr>
              <w:widowControl w:val="0"/>
              <w:rPr>
                <w:sz w:val="28"/>
              </w:rPr>
            </w:pPr>
          </w:p>
        </w:tc>
        <w:tc>
          <w:tcPr>
            <w:tcW w:w="170" w:type="dxa"/>
          </w:tcPr>
          <w:p w:rsidR="009A185B" w:rsidRDefault="009A185B" w:rsidP="009A185B">
            <w:pPr>
              <w:widowControl w:val="0"/>
              <w:jc w:val="right"/>
              <w:rPr>
                <w:sz w:val="28"/>
              </w:rPr>
            </w:pPr>
          </w:p>
        </w:tc>
      </w:tr>
      <w:tr w:rsidR="009A185B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139" w:type="dxa"/>
            <w:gridSpan w:val="5"/>
          </w:tcPr>
          <w:p w:rsidR="009A185B" w:rsidRDefault="009A185B" w:rsidP="009A185B">
            <w:pPr>
              <w:widowControl w:val="0"/>
              <w:jc w:val="center"/>
            </w:pPr>
            <w:r>
              <w:t>г. Саянск</w:t>
            </w:r>
          </w:p>
        </w:tc>
        <w:tc>
          <w:tcPr>
            <w:tcW w:w="5368" w:type="dxa"/>
            <w:gridSpan w:val="2"/>
            <w:vMerge/>
            <w:vAlign w:val="center"/>
          </w:tcPr>
          <w:p w:rsidR="009A185B" w:rsidRDefault="009A185B" w:rsidP="009A185B"/>
        </w:tc>
        <w:tc>
          <w:tcPr>
            <w:tcW w:w="170" w:type="dxa"/>
          </w:tcPr>
          <w:p w:rsidR="009A185B" w:rsidRDefault="009A185B" w:rsidP="009A185B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9A185B" w:rsidRDefault="009A185B" w:rsidP="009A185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9A185B" w:rsidRDefault="009A185B" w:rsidP="009A185B">
            <w:pPr>
              <w:widowControl w:val="0"/>
              <w:jc w:val="right"/>
              <w:rPr>
                <w:sz w:val="28"/>
              </w:rPr>
            </w:pPr>
          </w:p>
        </w:tc>
      </w:tr>
      <w:tr w:rsidR="009A185B">
        <w:trPr>
          <w:trHeight w:val="1437"/>
        </w:trPr>
        <w:tc>
          <w:tcPr>
            <w:tcW w:w="144" w:type="dxa"/>
          </w:tcPr>
          <w:p w:rsidR="009A185B" w:rsidRDefault="009A185B" w:rsidP="009A185B">
            <w:pPr>
              <w:widowControl w:val="0"/>
              <w:rPr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9A185B" w:rsidRDefault="009A185B" w:rsidP="009A185B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9A185B" w:rsidRDefault="009A185B" w:rsidP="009A185B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9356" w:type="dxa"/>
            <w:gridSpan w:val="5"/>
          </w:tcPr>
          <w:p w:rsidR="009A185B" w:rsidRPr="0037545A" w:rsidRDefault="009A185B" w:rsidP="009A185B">
            <w:pPr>
              <w:widowControl w:val="0"/>
              <w:jc w:val="both"/>
            </w:pPr>
          </w:p>
          <w:p w:rsidR="009A185B" w:rsidRPr="0037545A" w:rsidRDefault="00CA60F5" w:rsidP="009A185B">
            <w:pPr>
              <w:widowControl w:val="0"/>
              <w:jc w:val="both"/>
            </w:pPr>
            <w:r w:rsidRPr="0037545A"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N051-14-119</w:t>
            </w:r>
          </w:p>
        </w:tc>
        <w:tc>
          <w:tcPr>
            <w:tcW w:w="4574" w:type="dxa"/>
            <w:gridSpan w:val="5"/>
          </w:tcPr>
          <w:p w:rsidR="009A185B" w:rsidRDefault="009A185B" w:rsidP="009A185B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170006" w:rsidRDefault="00170006" w:rsidP="00170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03F5">
        <w:rPr>
          <w:sz w:val="28"/>
          <w:szCs w:val="28"/>
        </w:rPr>
        <w:t>В целях приведения в соответствие с действующим законодательством Российской Федерации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N051-14-119, руководствуясь статьями 31, 32, 33 Градостроительного кодекса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14</w:t>
      </w:r>
      <w:proofErr w:type="gramEnd"/>
      <w:r w:rsidRPr="00D303F5">
        <w:rPr>
          <w:sz w:val="28"/>
          <w:szCs w:val="28"/>
        </w:rPr>
        <w:t xml:space="preserve">, 21 Устава муниципального образования «город Саянск», учитывая результаты </w:t>
      </w:r>
      <w:r w:rsidR="00D303F5" w:rsidRPr="00E92C60">
        <w:rPr>
          <w:sz w:val="28"/>
          <w:szCs w:val="28"/>
        </w:rPr>
        <w:t>проведённых 20 сентября 2012г.</w:t>
      </w:r>
      <w:r w:rsidR="00D303F5">
        <w:t xml:space="preserve"> </w:t>
      </w:r>
      <w:r w:rsidR="00E92C60" w:rsidRPr="00D303F5">
        <w:rPr>
          <w:sz w:val="28"/>
          <w:szCs w:val="28"/>
        </w:rPr>
        <w:t xml:space="preserve">публичных слушаний </w:t>
      </w:r>
      <w:r w:rsidRPr="00D303F5">
        <w:rPr>
          <w:sz w:val="28"/>
          <w:szCs w:val="28"/>
        </w:rPr>
        <w:t xml:space="preserve">(Заключение по итогам проведения публичных слушаний от </w:t>
      </w:r>
      <w:r w:rsidR="00AD2CC4" w:rsidRPr="00E92C60">
        <w:rPr>
          <w:sz w:val="28"/>
          <w:szCs w:val="28"/>
        </w:rPr>
        <w:t>20 сентября</w:t>
      </w:r>
      <w:r w:rsidR="00AD2CC4" w:rsidRPr="00D303F5">
        <w:rPr>
          <w:sz w:val="28"/>
          <w:szCs w:val="28"/>
        </w:rPr>
        <w:t xml:space="preserve"> </w:t>
      </w:r>
      <w:r w:rsidRPr="00D303F5">
        <w:rPr>
          <w:sz w:val="28"/>
          <w:szCs w:val="28"/>
        </w:rPr>
        <w:t>2012г., опубликованное в газете «С</w:t>
      </w:r>
      <w:r w:rsidR="00AD2CC4">
        <w:rPr>
          <w:sz w:val="28"/>
          <w:szCs w:val="28"/>
        </w:rPr>
        <w:t>аянские зори</w:t>
      </w:r>
      <w:r w:rsidRPr="00D303F5">
        <w:rPr>
          <w:sz w:val="28"/>
          <w:szCs w:val="28"/>
        </w:rPr>
        <w:t xml:space="preserve">» от </w:t>
      </w:r>
      <w:r w:rsidR="00AD2CC4">
        <w:rPr>
          <w:sz w:val="28"/>
          <w:szCs w:val="28"/>
        </w:rPr>
        <w:t>27</w:t>
      </w:r>
      <w:r w:rsidRPr="00D303F5">
        <w:rPr>
          <w:sz w:val="28"/>
          <w:szCs w:val="28"/>
        </w:rPr>
        <w:t>.0</w:t>
      </w:r>
      <w:r w:rsidR="00AD2CC4">
        <w:rPr>
          <w:sz w:val="28"/>
          <w:szCs w:val="28"/>
        </w:rPr>
        <w:t>9</w:t>
      </w:r>
      <w:r w:rsidRPr="00D303F5">
        <w:rPr>
          <w:sz w:val="28"/>
          <w:szCs w:val="28"/>
        </w:rPr>
        <w:t xml:space="preserve"> 2012г. № </w:t>
      </w:r>
      <w:r w:rsidR="00AD2CC4">
        <w:rPr>
          <w:sz w:val="28"/>
          <w:szCs w:val="28"/>
        </w:rPr>
        <w:t>39</w:t>
      </w:r>
      <w:r w:rsidRPr="00D303F5">
        <w:rPr>
          <w:sz w:val="28"/>
          <w:szCs w:val="28"/>
        </w:rPr>
        <w:t xml:space="preserve"> (36</w:t>
      </w:r>
      <w:r w:rsidR="00AD2CC4">
        <w:rPr>
          <w:sz w:val="28"/>
          <w:szCs w:val="28"/>
        </w:rPr>
        <w:t>96</w:t>
      </w:r>
      <w:r w:rsidRPr="00D303F5">
        <w:rPr>
          <w:sz w:val="28"/>
          <w:szCs w:val="28"/>
        </w:rPr>
        <w:t xml:space="preserve">) (вкладыш официальной информации, страница </w:t>
      </w:r>
      <w:r w:rsidR="00AD2CC4">
        <w:rPr>
          <w:sz w:val="28"/>
          <w:szCs w:val="28"/>
        </w:rPr>
        <w:t>2</w:t>
      </w:r>
      <w:r w:rsidRPr="00D303F5">
        <w:rPr>
          <w:sz w:val="28"/>
          <w:szCs w:val="28"/>
        </w:rPr>
        <w:t xml:space="preserve">)), Дума городского округа муниципального образования «город  Саянск» </w:t>
      </w:r>
    </w:p>
    <w:p w:rsidR="00170006" w:rsidRPr="00D55120" w:rsidRDefault="00170006" w:rsidP="001700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55120">
        <w:rPr>
          <w:sz w:val="28"/>
          <w:szCs w:val="28"/>
        </w:rPr>
        <w:t>РЕШИЛА:</w:t>
      </w:r>
    </w:p>
    <w:p w:rsidR="00170006" w:rsidRPr="00D55120" w:rsidRDefault="00170006" w:rsidP="00170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120">
        <w:rPr>
          <w:sz w:val="28"/>
          <w:szCs w:val="28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N 051-14-119, </w:t>
      </w:r>
      <w:r w:rsidR="00004372" w:rsidRPr="00004372">
        <w:rPr>
          <w:sz w:val="28"/>
          <w:szCs w:val="28"/>
        </w:rPr>
        <w:t>опубликованные в газете «САЯНСКИЕ  ЗОРИ» выпуск от 2 декабря 2010г. №№ 317-323 (3515-3521) (вкладыш официальной информации, страницы 6-8), выпуск от 9 декабря 2010г. №№ 324-330 (3522-3528) (вкладыш официальной информации, страницы 2-7)</w:t>
      </w:r>
      <w:r w:rsidR="00AD2CC4" w:rsidRPr="00D55120">
        <w:rPr>
          <w:sz w:val="28"/>
          <w:szCs w:val="28"/>
        </w:rPr>
        <w:t>,</w:t>
      </w:r>
      <w:r w:rsidRPr="00D55120">
        <w:rPr>
          <w:sz w:val="28"/>
          <w:szCs w:val="28"/>
        </w:rPr>
        <w:t xml:space="preserve"> следующие изменения: </w:t>
      </w:r>
    </w:p>
    <w:p w:rsidR="0037545A" w:rsidRPr="00D55120" w:rsidRDefault="0037545A" w:rsidP="0037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120">
        <w:rPr>
          <w:sz w:val="28"/>
          <w:szCs w:val="28"/>
        </w:rPr>
        <w:t>1.</w:t>
      </w:r>
      <w:r w:rsidR="00AD2CC4" w:rsidRPr="00D55120">
        <w:rPr>
          <w:sz w:val="28"/>
          <w:szCs w:val="28"/>
        </w:rPr>
        <w:t>1</w:t>
      </w:r>
      <w:r w:rsidRPr="00D55120">
        <w:rPr>
          <w:sz w:val="28"/>
          <w:szCs w:val="28"/>
        </w:rPr>
        <w:t xml:space="preserve">. </w:t>
      </w:r>
      <w:r w:rsidR="00AD2CC4" w:rsidRPr="00D55120">
        <w:rPr>
          <w:sz w:val="28"/>
          <w:szCs w:val="28"/>
        </w:rPr>
        <w:t xml:space="preserve">Карту градостроительного зонирования части </w:t>
      </w:r>
      <w:r w:rsidR="00AD2CC4" w:rsidRPr="00D55120">
        <w:rPr>
          <w:sz w:val="28"/>
          <w:szCs w:val="28"/>
          <w:lang w:val="en-US"/>
        </w:rPr>
        <w:t>II</w:t>
      </w:r>
      <w:r w:rsidR="00AD2CC4" w:rsidRPr="00D55120">
        <w:rPr>
          <w:sz w:val="28"/>
          <w:szCs w:val="28"/>
        </w:rPr>
        <w:t xml:space="preserve"> «Градостроительное зонирование территории» Правил землепользования и застройки </w:t>
      </w:r>
      <w:r w:rsidRPr="00D55120">
        <w:rPr>
          <w:sz w:val="28"/>
          <w:szCs w:val="28"/>
        </w:rPr>
        <w:t>из</w:t>
      </w:r>
      <w:r w:rsidR="00495FD3">
        <w:rPr>
          <w:sz w:val="28"/>
          <w:szCs w:val="28"/>
        </w:rPr>
        <w:t>ложит</w:t>
      </w:r>
      <w:r w:rsidRPr="00D55120">
        <w:rPr>
          <w:sz w:val="28"/>
          <w:szCs w:val="28"/>
        </w:rPr>
        <w:t xml:space="preserve">ь в </w:t>
      </w:r>
      <w:r w:rsidR="00495FD3">
        <w:rPr>
          <w:sz w:val="28"/>
          <w:szCs w:val="28"/>
        </w:rPr>
        <w:t xml:space="preserve">редакции </w:t>
      </w:r>
      <w:proofErr w:type="gramStart"/>
      <w:r w:rsidR="00495FD3">
        <w:rPr>
          <w:sz w:val="28"/>
          <w:szCs w:val="28"/>
        </w:rPr>
        <w:t xml:space="preserve">согласно </w:t>
      </w:r>
      <w:r w:rsidRPr="00D55120">
        <w:rPr>
          <w:sz w:val="28"/>
          <w:szCs w:val="28"/>
        </w:rPr>
        <w:t>приложени</w:t>
      </w:r>
      <w:r w:rsidR="00495FD3">
        <w:rPr>
          <w:sz w:val="28"/>
          <w:szCs w:val="28"/>
        </w:rPr>
        <w:t>я</w:t>
      </w:r>
      <w:proofErr w:type="gramEnd"/>
      <w:r w:rsidRPr="00D55120">
        <w:rPr>
          <w:sz w:val="28"/>
          <w:szCs w:val="28"/>
        </w:rPr>
        <w:t xml:space="preserve"> к настоящему решению.</w:t>
      </w:r>
    </w:p>
    <w:p w:rsidR="0037545A" w:rsidRPr="00D55120" w:rsidRDefault="0037545A" w:rsidP="00D55120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5120">
        <w:rPr>
          <w:sz w:val="28"/>
          <w:szCs w:val="28"/>
        </w:rPr>
        <w:t xml:space="preserve">  2. Администрации городского округа муниципального образования «город Саянск» опубликовать настоящее решение в газете </w:t>
      </w:r>
      <w:r w:rsidR="00D55120" w:rsidRPr="00D55120">
        <w:rPr>
          <w:sz w:val="28"/>
          <w:szCs w:val="28"/>
        </w:rPr>
        <w:t xml:space="preserve">«Саянские зори» </w:t>
      </w:r>
      <w:r w:rsidRPr="00D55120">
        <w:rPr>
          <w:sz w:val="28"/>
          <w:szCs w:val="28"/>
        </w:rPr>
        <w:t xml:space="preserve">и разместить на официальном сайте администрации городского округа </w:t>
      </w:r>
      <w:r w:rsidRPr="00D55120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37545A" w:rsidRPr="00D55120" w:rsidRDefault="0037545A" w:rsidP="0037545A">
      <w:pPr>
        <w:tabs>
          <w:tab w:val="left" w:pos="540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D55120"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37545A" w:rsidRPr="008F7BBE" w:rsidRDefault="0037545A" w:rsidP="0037545A">
      <w:pPr>
        <w:tabs>
          <w:tab w:val="left" w:pos="540"/>
        </w:tabs>
        <w:autoSpaceDE w:val="0"/>
        <w:autoSpaceDN w:val="0"/>
        <w:adjustRightInd w:val="0"/>
        <w:ind w:firstLine="539"/>
      </w:pPr>
    </w:p>
    <w:p w:rsidR="0037545A" w:rsidRDefault="0037545A" w:rsidP="0037545A">
      <w:pPr>
        <w:autoSpaceDE w:val="0"/>
        <w:autoSpaceDN w:val="0"/>
        <w:adjustRightInd w:val="0"/>
        <w:jc w:val="both"/>
      </w:pPr>
    </w:p>
    <w:p w:rsidR="009A185B" w:rsidRDefault="009A185B" w:rsidP="0037545A">
      <w:pPr>
        <w:rPr>
          <w:sz w:val="28"/>
          <w:szCs w:val="28"/>
        </w:rPr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A277BB" w:rsidRDefault="00A277BB" w:rsidP="009A185B">
      <w:pPr>
        <w:autoSpaceDE w:val="0"/>
        <w:autoSpaceDN w:val="0"/>
        <w:adjustRightInd w:val="0"/>
        <w:ind w:firstLine="540"/>
        <w:jc w:val="both"/>
      </w:pPr>
    </w:p>
    <w:p w:rsidR="00A277BB" w:rsidRDefault="00A277BB" w:rsidP="009A185B">
      <w:pPr>
        <w:autoSpaceDE w:val="0"/>
        <w:autoSpaceDN w:val="0"/>
        <w:adjustRightInd w:val="0"/>
        <w:ind w:firstLine="540"/>
        <w:jc w:val="both"/>
      </w:pPr>
    </w:p>
    <w:p w:rsidR="00A277BB" w:rsidRDefault="00A277BB" w:rsidP="009A185B">
      <w:pPr>
        <w:autoSpaceDE w:val="0"/>
        <w:autoSpaceDN w:val="0"/>
        <w:adjustRightInd w:val="0"/>
        <w:ind w:firstLine="540"/>
        <w:jc w:val="both"/>
      </w:pPr>
    </w:p>
    <w:p w:rsidR="00064104" w:rsidRDefault="00064104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B34C5" w:rsidRDefault="009B34C5" w:rsidP="009A185B">
      <w:pPr>
        <w:autoSpaceDE w:val="0"/>
        <w:autoSpaceDN w:val="0"/>
        <w:adjustRightInd w:val="0"/>
        <w:ind w:firstLine="540"/>
        <w:jc w:val="both"/>
      </w:pPr>
    </w:p>
    <w:p w:rsidR="009A185B" w:rsidRDefault="009A185B" w:rsidP="009A185B">
      <w:pPr>
        <w:autoSpaceDE w:val="0"/>
        <w:autoSpaceDN w:val="0"/>
        <w:adjustRightInd w:val="0"/>
        <w:ind w:firstLine="540"/>
        <w:jc w:val="both"/>
      </w:pPr>
    </w:p>
    <w:p w:rsidR="009371AC" w:rsidRDefault="009371AC" w:rsidP="009371AC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pt;margin-top:-18pt;width:225.55pt;height:63pt;z-index:251659264" stroked="f">
            <v:textbox>
              <w:txbxContent>
                <w:p w:rsidR="009371AC" w:rsidRPr="00157E17" w:rsidRDefault="009371AC" w:rsidP="009371AC">
                  <w:r w:rsidRPr="00157E17">
                    <w:t>Приложение к Решению Думы</w:t>
                  </w:r>
                </w:p>
                <w:p w:rsidR="009371AC" w:rsidRDefault="009371AC" w:rsidP="009371AC">
                  <w:r w:rsidRPr="00157E17">
                    <w:t xml:space="preserve">городского округа </w:t>
                  </w:r>
                  <w:r>
                    <w:t xml:space="preserve"> </w:t>
                  </w:r>
                  <w:r w:rsidRPr="00157E17">
                    <w:t>муниципального</w:t>
                  </w:r>
                  <w:r>
                    <w:t xml:space="preserve"> </w:t>
                  </w:r>
                  <w:r w:rsidRPr="00157E17">
                    <w:t>образования «город Саянск»</w:t>
                  </w:r>
                </w:p>
                <w:p w:rsidR="009371AC" w:rsidRPr="00157E17" w:rsidRDefault="00DA27F4" w:rsidP="009371AC">
                  <w:r>
                    <w:t>от__</w:t>
                  </w:r>
                  <w:r w:rsidRPr="00CA60A9">
                    <w:rPr>
                      <w:u w:val="single"/>
                    </w:rPr>
                    <w:t>25.10.2012</w:t>
                  </w:r>
                  <w:r w:rsidR="009371AC">
                    <w:t>__ №_</w:t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61-67-12-71 </w:t>
                  </w:r>
                  <w:r w:rsidR="009371AC">
                    <w:t>_</w:t>
                  </w:r>
                </w:p>
                <w:p w:rsidR="009371AC" w:rsidRDefault="009371AC" w:rsidP="009371AC"/>
              </w:txbxContent>
            </v:textbox>
          </v:shape>
        </w:pict>
      </w:r>
    </w:p>
    <w:p w:rsidR="009371AC" w:rsidRDefault="009371AC" w:rsidP="009371AC">
      <w:pPr>
        <w:ind w:firstLine="709"/>
        <w:jc w:val="both"/>
        <w:rPr>
          <w:sz w:val="28"/>
          <w:szCs w:val="28"/>
        </w:rPr>
      </w:pPr>
    </w:p>
    <w:p w:rsidR="009371AC" w:rsidRDefault="009371AC" w:rsidP="009371AC">
      <w:pPr>
        <w:ind w:firstLine="709"/>
        <w:jc w:val="both"/>
        <w:rPr>
          <w:sz w:val="28"/>
          <w:szCs w:val="28"/>
        </w:rPr>
      </w:pPr>
    </w:p>
    <w:p w:rsidR="009371AC" w:rsidRDefault="009371AC" w:rsidP="0093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изменения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                «город Саянск» от 30.11.2010 №051-14-119.</w:t>
      </w:r>
    </w:p>
    <w:p w:rsidR="009371AC" w:rsidRDefault="009371AC" w:rsidP="0093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градостроительного зонирования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«Градостроительное зонирование территории».</w:t>
      </w:r>
    </w:p>
    <w:p w:rsidR="009371AC" w:rsidRPr="007143B4" w:rsidRDefault="009371AC" w:rsidP="00937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ОД-2. Зона общественного и коммерческого назначения.</w:t>
      </w:r>
    </w:p>
    <w:p w:rsidR="009371AC" w:rsidRDefault="009371AC" w:rsidP="009371AC">
      <w:pPr>
        <w:ind w:firstLine="709"/>
      </w:pPr>
    </w:p>
    <w:p w:rsidR="009371AC" w:rsidRDefault="009371AC" w:rsidP="009371AC"/>
    <w:p w:rsidR="009371AC" w:rsidRDefault="009371AC" w:rsidP="009371AC"/>
    <w:p w:rsidR="009371AC" w:rsidRDefault="009371AC" w:rsidP="009371AC">
      <w:pPr>
        <w:jc w:val="center"/>
      </w:pPr>
      <w:r>
        <w:rPr>
          <w:noProof/>
        </w:rPr>
        <w:pict>
          <v:shape id="_x0000_s1027" type="#_x0000_t202" style="position:absolute;left:0;text-align:left;margin-left:225pt;margin-top:16.9pt;width:40.6pt;height:20.9pt;z-index:251657216" stroked="f">
            <v:textbox style="mso-next-textbox:#_x0000_s1027">
              <w:txbxContent>
                <w:p w:rsidR="009371AC" w:rsidRDefault="009371AC" w:rsidP="009371AC">
                  <w:r>
                    <w:t>Ж-3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06pt;margin-top:295.9pt;width:40.6pt;height:20.9pt;z-index:251658240" stroked="f">
            <v:textbox style="mso-next-textbox:#_x0000_s1028">
              <w:txbxContent>
                <w:p w:rsidR="009371AC" w:rsidRDefault="009371AC" w:rsidP="009371AC">
                  <w:r>
                    <w:t>Ж-3</w:t>
                  </w:r>
                </w:p>
              </w:txbxContent>
            </v:textbox>
          </v:shape>
        </w:pict>
      </w:r>
      <w:r w:rsidR="00FA4324">
        <w:rPr>
          <w:noProof/>
        </w:rPr>
        <w:drawing>
          <wp:inline distT="0" distB="0" distL="0" distR="0">
            <wp:extent cx="5019675" cy="4848225"/>
            <wp:effectExtent l="19050" t="0" r="9525" b="0"/>
            <wp:docPr id="1" name="Рисунок 1" descr="оптов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овк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AC" w:rsidRDefault="009371AC" w:rsidP="009371AC">
      <w:pPr>
        <w:jc w:val="center"/>
      </w:pPr>
    </w:p>
    <w:p w:rsidR="009371AC" w:rsidRDefault="009371AC" w:rsidP="009371AC">
      <w:pPr>
        <w:jc w:val="center"/>
      </w:pPr>
    </w:p>
    <w:p w:rsidR="009371AC" w:rsidRDefault="009371AC" w:rsidP="009371AC">
      <w:pPr>
        <w:jc w:val="center"/>
        <w:rPr>
          <w:b/>
        </w:rPr>
      </w:pPr>
      <w:r w:rsidRPr="007143B4">
        <w:rPr>
          <w:b/>
        </w:rPr>
        <w:t>МАСШТАБ 1:2000</w:t>
      </w:r>
    </w:p>
    <w:p w:rsidR="009371AC" w:rsidRPr="00393A6E" w:rsidRDefault="009371AC" w:rsidP="009371AC">
      <w:pPr>
        <w:rPr>
          <w:u w:val="single"/>
        </w:rPr>
      </w:pPr>
      <w:r w:rsidRPr="00393A6E">
        <w:rPr>
          <w:u w:val="single"/>
        </w:rPr>
        <w:t>Условные обозначения:</w:t>
      </w:r>
    </w:p>
    <w:p w:rsidR="009371AC" w:rsidRDefault="009371AC" w:rsidP="009371AC">
      <w:pPr>
        <w:rPr>
          <w:b/>
        </w:rPr>
      </w:pPr>
    </w:p>
    <w:p w:rsidR="009371AC" w:rsidRDefault="009371AC" w:rsidP="009371AC">
      <w:pPr>
        <w:rPr>
          <w:b/>
        </w:rPr>
      </w:pPr>
      <w:r>
        <w:rPr>
          <w:b/>
          <w:noProof/>
        </w:rPr>
        <w:pict>
          <v:rect id="_x0000_s1026" style="position:absolute;margin-left:9pt;margin-top:9pt;width:27pt;height:9pt;z-index:251656192" fillcolor="silver" strokecolor="blue"/>
        </w:pict>
      </w:r>
      <w:r w:rsidR="00FA4324">
        <w:rPr>
          <w:b/>
          <w:noProof/>
        </w:rPr>
        <w:drawing>
          <wp:inline distT="0" distB="0" distL="0" distR="0">
            <wp:extent cx="552450" cy="342900"/>
            <wp:effectExtent l="1905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ОД -2 - Зона общественного и коммерческого назначения</w:t>
      </w:r>
    </w:p>
    <w:p w:rsidR="009371AC" w:rsidRDefault="009371AC" w:rsidP="009371AC">
      <w:pPr>
        <w:rPr>
          <w:b/>
        </w:rPr>
      </w:pPr>
    </w:p>
    <w:sectPr w:rsidR="009371AC" w:rsidSect="009A185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185B"/>
    <w:rsid w:val="00000333"/>
    <w:rsid w:val="00004372"/>
    <w:rsid w:val="00004D14"/>
    <w:rsid w:val="0001088C"/>
    <w:rsid w:val="000239DB"/>
    <w:rsid w:val="00044D02"/>
    <w:rsid w:val="00053733"/>
    <w:rsid w:val="00064104"/>
    <w:rsid w:val="00072900"/>
    <w:rsid w:val="000A5FDD"/>
    <w:rsid w:val="0013541E"/>
    <w:rsid w:val="00155F72"/>
    <w:rsid w:val="00163562"/>
    <w:rsid w:val="00170006"/>
    <w:rsid w:val="0018530C"/>
    <w:rsid w:val="0019211D"/>
    <w:rsid w:val="00195A4B"/>
    <w:rsid w:val="001A6406"/>
    <w:rsid w:val="001E1C88"/>
    <w:rsid w:val="002763D0"/>
    <w:rsid w:val="0029540D"/>
    <w:rsid w:val="002C01A4"/>
    <w:rsid w:val="002E1612"/>
    <w:rsid w:val="002F7A11"/>
    <w:rsid w:val="00336569"/>
    <w:rsid w:val="0037545A"/>
    <w:rsid w:val="00391D74"/>
    <w:rsid w:val="003A2DED"/>
    <w:rsid w:val="003D6C97"/>
    <w:rsid w:val="003F2FD6"/>
    <w:rsid w:val="003F3B5E"/>
    <w:rsid w:val="0042344C"/>
    <w:rsid w:val="00437F9B"/>
    <w:rsid w:val="004501C2"/>
    <w:rsid w:val="00470A9E"/>
    <w:rsid w:val="00485163"/>
    <w:rsid w:val="00495FD3"/>
    <w:rsid w:val="004D7965"/>
    <w:rsid w:val="00500355"/>
    <w:rsid w:val="00591E67"/>
    <w:rsid w:val="005F0B34"/>
    <w:rsid w:val="00610381"/>
    <w:rsid w:val="00654C82"/>
    <w:rsid w:val="00665571"/>
    <w:rsid w:val="00675D55"/>
    <w:rsid w:val="006A088A"/>
    <w:rsid w:val="006D375D"/>
    <w:rsid w:val="006F7821"/>
    <w:rsid w:val="00732E77"/>
    <w:rsid w:val="007F5D28"/>
    <w:rsid w:val="008403DD"/>
    <w:rsid w:val="0089157C"/>
    <w:rsid w:val="00895CAF"/>
    <w:rsid w:val="008A6426"/>
    <w:rsid w:val="008C3120"/>
    <w:rsid w:val="00922FA5"/>
    <w:rsid w:val="009371AC"/>
    <w:rsid w:val="0095765F"/>
    <w:rsid w:val="009734DB"/>
    <w:rsid w:val="00993CBC"/>
    <w:rsid w:val="009A185B"/>
    <w:rsid w:val="009B34C5"/>
    <w:rsid w:val="009C444E"/>
    <w:rsid w:val="00A00ECC"/>
    <w:rsid w:val="00A0608E"/>
    <w:rsid w:val="00A277BB"/>
    <w:rsid w:val="00A3365F"/>
    <w:rsid w:val="00A720A5"/>
    <w:rsid w:val="00A80ED1"/>
    <w:rsid w:val="00A967E1"/>
    <w:rsid w:val="00AA3C94"/>
    <w:rsid w:val="00AC5B87"/>
    <w:rsid w:val="00AD2CC4"/>
    <w:rsid w:val="00AF2BF8"/>
    <w:rsid w:val="00AF3544"/>
    <w:rsid w:val="00B173A1"/>
    <w:rsid w:val="00B235FF"/>
    <w:rsid w:val="00B27179"/>
    <w:rsid w:val="00B42789"/>
    <w:rsid w:val="00B72347"/>
    <w:rsid w:val="00B84C30"/>
    <w:rsid w:val="00BA5C8C"/>
    <w:rsid w:val="00BC4D53"/>
    <w:rsid w:val="00C21CB2"/>
    <w:rsid w:val="00C7658F"/>
    <w:rsid w:val="00CA60A9"/>
    <w:rsid w:val="00CA60F5"/>
    <w:rsid w:val="00CD5368"/>
    <w:rsid w:val="00D303F5"/>
    <w:rsid w:val="00D55120"/>
    <w:rsid w:val="00DA008A"/>
    <w:rsid w:val="00DA27F4"/>
    <w:rsid w:val="00E55B32"/>
    <w:rsid w:val="00E70E91"/>
    <w:rsid w:val="00E74E4D"/>
    <w:rsid w:val="00E92C60"/>
    <w:rsid w:val="00EA092E"/>
    <w:rsid w:val="00EE483E"/>
    <w:rsid w:val="00F27FA6"/>
    <w:rsid w:val="00F3081D"/>
    <w:rsid w:val="00F532A7"/>
    <w:rsid w:val="00FA4324"/>
    <w:rsid w:val="00FC2ECA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85B"/>
    <w:rPr>
      <w:sz w:val="24"/>
      <w:szCs w:val="24"/>
    </w:rPr>
  </w:style>
  <w:style w:type="paragraph" w:styleId="1">
    <w:name w:val="heading 1"/>
    <w:basedOn w:val="a"/>
    <w:next w:val="a"/>
    <w:qFormat/>
    <w:rsid w:val="009A185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9A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A185B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9A185B"/>
    <w:rPr>
      <w:rFonts w:ascii="Courier New" w:hAnsi="Courier New" w:cs="Courier New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9A18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9A185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MoBIL GROUP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GEK</dc:creator>
  <cp:keywords/>
  <dc:description/>
  <cp:lastModifiedBy>Ю.В. Колькина</cp:lastModifiedBy>
  <cp:revision>2</cp:revision>
  <cp:lastPrinted>2012-10-15T08:32:00Z</cp:lastPrinted>
  <dcterms:created xsi:type="dcterms:W3CDTF">2016-09-28T05:19:00Z</dcterms:created>
  <dcterms:modified xsi:type="dcterms:W3CDTF">2016-09-28T05:19:00Z</dcterms:modified>
</cp:coreProperties>
</file>