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10" w:rsidRPr="00C91637" w:rsidRDefault="00477B10" w:rsidP="00477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Потребительский рынок города Саянска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477B10" w:rsidRPr="00C91637" w:rsidRDefault="00477B10" w:rsidP="00477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7B10" w:rsidRPr="00477B10" w:rsidRDefault="00477B10" w:rsidP="00477B10">
      <w:pPr>
        <w:pStyle w:val="a8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B1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Потребительский рынок</w:t>
      </w:r>
      <w:r w:rsidRPr="00477B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города объединяет три сегмента сферы обслуживания населения: торговлю, общественное питание, бытовое обслуживание и является неотъемлемой частью повседневной жизни каждого человека.</w:t>
      </w:r>
    </w:p>
    <w:p w:rsidR="00477B10" w:rsidRPr="00C91637" w:rsidRDefault="00477B10" w:rsidP="00477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0900">
        <w:rPr>
          <w:rFonts w:ascii="Times New Roman" w:hAnsi="Times New Roman" w:cs="Times New Roman"/>
          <w:color w:val="000000"/>
          <w:sz w:val="26"/>
          <w:szCs w:val="26"/>
        </w:rPr>
        <w:t>Потребительская сфера города объединяет около 1</w:t>
      </w:r>
      <w:r w:rsidR="00440900" w:rsidRPr="00440900">
        <w:rPr>
          <w:rFonts w:ascii="Times New Roman" w:hAnsi="Times New Roman" w:cs="Times New Roman"/>
          <w:color w:val="000000"/>
          <w:sz w:val="26"/>
          <w:szCs w:val="26"/>
        </w:rPr>
        <w:t>19 юридических лиц и 511</w:t>
      </w:r>
      <w:r w:rsidRPr="00440900">
        <w:rPr>
          <w:rFonts w:ascii="Times New Roman" w:hAnsi="Times New Roman" w:cs="Times New Roman"/>
          <w:color w:val="000000"/>
          <w:sz w:val="26"/>
          <w:szCs w:val="26"/>
        </w:rPr>
        <w:t xml:space="preserve"> индивидуальных предпринимателей из числа хозяйствующих субъектов.</w:t>
      </w:r>
    </w:p>
    <w:p w:rsidR="00477B10" w:rsidRPr="00C91637" w:rsidRDefault="00477B10" w:rsidP="00477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37">
        <w:rPr>
          <w:rFonts w:ascii="Times New Roman" w:hAnsi="Times New Roman" w:cs="Times New Roman"/>
          <w:color w:val="000000"/>
          <w:sz w:val="26"/>
          <w:szCs w:val="26"/>
        </w:rPr>
        <w:t xml:space="preserve">В создании комфортной потребительской среды для жителей города </w:t>
      </w:r>
      <w:r w:rsidRPr="00440900">
        <w:rPr>
          <w:rFonts w:ascii="Times New Roman" w:hAnsi="Times New Roman" w:cs="Times New Roman"/>
          <w:color w:val="000000"/>
          <w:sz w:val="26"/>
          <w:szCs w:val="26"/>
        </w:rPr>
        <w:t xml:space="preserve">трудится </w:t>
      </w:r>
      <w:r w:rsidRPr="00440900">
        <w:rPr>
          <w:rFonts w:ascii="Times New Roman" w:hAnsi="Times New Roman" w:cs="Times New Roman"/>
          <w:sz w:val="26"/>
          <w:szCs w:val="26"/>
        </w:rPr>
        <w:t>25</w:t>
      </w:r>
      <w:r w:rsidR="00440900" w:rsidRPr="00440900">
        <w:rPr>
          <w:rFonts w:ascii="Times New Roman" w:hAnsi="Times New Roman" w:cs="Times New Roman"/>
          <w:sz w:val="26"/>
          <w:szCs w:val="26"/>
        </w:rPr>
        <w:t>83</w:t>
      </w:r>
      <w:r w:rsidRPr="00C91637">
        <w:rPr>
          <w:rFonts w:ascii="Times New Roman" w:hAnsi="Times New Roman" w:cs="Times New Roman"/>
          <w:sz w:val="26"/>
          <w:szCs w:val="26"/>
        </w:rPr>
        <w:t xml:space="preserve"> человек (201</w:t>
      </w:r>
      <w:r w:rsidR="00D042CD">
        <w:rPr>
          <w:rFonts w:ascii="Times New Roman" w:hAnsi="Times New Roman" w:cs="Times New Roman"/>
          <w:sz w:val="26"/>
          <w:szCs w:val="26"/>
        </w:rPr>
        <w:t>6</w:t>
      </w:r>
      <w:r w:rsidRPr="00C91637">
        <w:rPr>
          <w:rFonts w:ascii="Times New Roman" w:hAnsi="Times New Roman" w:cs="Times New Roman"/>
          <w:sz w:val="26"/>
          <w:szCs w:val="26"/>
        </w:rPr>
        <w:t>г. – 2</w:t>
      </w:r>
      <w:r w:rsidR="00D042CD">
        <w:rPr>
          <w:rFonts w:ascii="Times New Roman" w:hAnsi="Times New Roman" w:cs="Times New Roman"/>
          <w:sz w:val="26"/>
          <w:szCs w:val="26"/>
        </w:rPr>
        <w:t>525</w:t>
      </w:r>
      <w:r w:rsidRPr="00C91637">
        <w:rPr>
          <w:rFonts w:ascii="Times New Roman" w:hAnsi="Times New Roman" w:cs="Times New Roman"/>
          <w:sz w:val="26"/>
          <w:szCs w:val="26"/>
        </w:rPr>
        <w:t xml:space="preserve">), которые оказывают услуги </w:t>
      </w:r>
      <w:proofErr w:type="gramStart"/>
      <w:r w:rsidRPr="00C9163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91637">
        <w:rPr>
          <w:rFonts w:ascii="Times New Roman" w:hAnsi="Times New Roman" w:cs="Times New Roman"/>
          <w:sz w:val="26"/>
          <w:szCs w:val="26"/>
        </w:rPr>
        <w:t>: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- 1</w:t>
      </w:r>
      <w:r w:rsidR="000408F0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предприятиях розничной торговли торговой площадью - 48</w:t>
      </w:r>
      <w:r w:rsidR="000408F0">
        <w:rPr>
          <w:rFonts w:ascii="Times New Roman" w:eastAsia="Times New Roman" w:hAnsi="Times New Roman" w:cs="Times New Roman"/>
          <w:sz w:val="26"/>
          <w:szCs w:val="26"/>
          <w:lang w:eastAsia="ru-RU"/>
        </w:rPr>
        <w:t>654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11F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из них 4</w:t>
      </w:r>
      <w:r w:rsidR="00E11F0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объект</w:t>
      </w:r>
      <w:r w:rsidR="002B5F06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или 3</w:t>
      </w:r>
      <w:r w:rsidR="00E11F0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E11F02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 % - это продовольственные магазины товаров повседневного спроса, торговой площадью</w:t>
      </w:r>
      <w:r w:rsidR="009C29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11F02">
        <w:rPr>
          <w:rFonts w:ascii="Times New Roman" w:hAnsi="Times New Roman" w:cs="Times New Roman"/>
          <w:sz w:val="26"/>
          <w:szCs w:val="26"/>
          <w:lang w:eastAsia="ru-RU"/>
        </w:rPr>
        <w:t>2958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E11F0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hAnsi="Times New Roman" w:cs="Times New Roman"/>
          <w:sz w:val="26"/>
          <w:szCs w:val="26"/>
          <w:lang w:eastAsia="ru-RU"/>
        </w:rPr>
        <w:t>., располагающиеся в жилых домах, т.е. в радиусе пешеходной доступности;</w:t>
      </w:r>
      <w:proofErr w:type="gramEnd"/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hAnsi="Times New Roman" w:cs="Times New Roman"/>
          <w:sz w:val="26"/>
          <w:szCs w:val="26"/>
          <w:lang w:eastAsia="ru-RU"/>
        </w:rPr>
        <w:t>- 5</w:t>
      </w:r>
      <w:r w:rsidR="009C297D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>объект</w:t>
      </w:r>
      <w:r w:rsidR="002B5F06">
        <w:rPr>
          <w:rFonts w:ascii="Times New Roman" w:hAnsi="Times New Roman" w:cs="Times New Roman"/>
          <w:sz w:val="26"/>
          <w:szCs w:val="26"/>
          <w:lang w:eastAsia="ru-RU"/>
        </w:rPr>
        <w:t>ах</w:t>
      </w:r>
      <w:proofErr w:type="gramEnd"/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общественного питания на 3</w:t>
      </w:r>
      <w:r w:rsidR="009C297D">
        <w:rPr>
          <w:rFonts w:ascii="Times New Roman" w:hAnsi="Times New Roman" w:cs="Times New Roman"/>
          <w:sz w:val="26"/>
          <w:szCs w:val="26"/>
          <w:lang w:eastAsia="ru-RU"/>
        </w:rPr>
        <w:t>713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посадочных мест, из них </w:t>
      </w:r>
      <w:r w:rsidR="009C297D"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 ед. или 5</w:t>
      </w:r>
      <w:r w:rsidR="009C297D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C297D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 % – объекты общедоступной сети на </w:t>
      </w:r>
      <w:r w:rsidR="002B5F06">
        <w:rPr>
          <w:rFonts w:ascii="Times New Roman" w:hAnsi="Times New Roman" w:cs="Times New Roman"/>
          <w:sz w:val="26"/>
          <w:szCs w:val="26"/>
          <w:lang w:eastAsia="ru-RU"/>
        </w:rPr>
        <w:t>1003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посадочных мест;</w:t>
      </w:r>
    </w:p>
    <w:p w:rsidR="00477B10" w:rsidRPr="00BE6193" w:rsidRDefault="00477B10" w:rsidP="004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37">
        <w:rPr>
          <w:rFonts w:ascii="Times New Roman" w:hAnsi="Times New Roman" w:cs="Times New Roman"/>
          <w:sz w:val="26"/>
          <w:szCs w:val="26"/>
          <w:lang w:eastAsia="ru-RU"/>
        </w:rPr>
        <w:t>- 1</w:t>
      </w:r>
      <w:r w:rsidR="002B5F06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2 объектах бытовых услуг на </w:t>
      </w:r>
      <w:r w:rsidR="002B5F06">
        <w:rPr>
          <w:rFonts w:ascii="Times New Roman" w:hAnsi="Times New Roman" w:cs="Times New Roman"/>
          <w:sz w:val="26"/>
          <w:szCs w:val="26"/>
          <w:lang w:eastAsia="ru-RU"/>
        </w:rPr>
        <w:t>476</w:t>
      </w:r>
      <w:r w:rsidRPr="00C91637">
        <w:rPr>
          <w:rFonts w:ascii="Times New Roman" w:hAnsi="Times New Roman" w:cs="Times New Roman"/>
          <w:sz w:val="26"/>
          <w:szCs w:val="26"/>
        </w:rPr>
        <w:t xml:space="preserve"> рабочих мест</w:t>
      </w:r>
      <w:r w:rsidRPr="00BE6193">
        <w:rPr>
          <w:rFonts w:ascii="Times New Roman" w:hAnsi="Times New Roman" w:cs="Times New Roman"/>
          <w:sz w:val="28"/>
          <w:szCs w:val="28"/>
        </w:rPr>
        <w:t>.</w:t>
      </w:r>
    </w:p>
    <w:p w:rsidR="00477B10" w:rsidRDefault="00477B10" w:rsidP="00477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1C0F72" wp14:editId="6F893B23">
            <wp:extent cx="4572000" cy="2260756"/>
            <wp:effectExtent l="0" t="0" r="0" b="6350"/>
            <wp:docPr id="1" name="Диаграмма 1" title="Структура предприятий потребительского рынк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565D" w:rsidRPr="006B565D" w:rsidRDefault="006B565D" w:rsidP="00477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77B10" w:rsidRPr="00C91637" w:rsidRDefault="00477B10" w:rsidP="00477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Розничная торговля</w:t>
      </w:r>
    </w:p>
    <w:p w:rsidR="00477B10" w:rsidRDefault="00477B10" w:rsidP="00477B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Ведущая роль в удовлетворении покупательского спроса принадлежит торговле.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предварительной оценке оборот розничной торговли в январе-декабре 201</w:t>
      </w:r>
      <w:r w:rsidR="0044090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</w:t>
      </w:r>
      <w:r w:rsidR="00FB3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6B565D">
        <w:rPr>
          <w:rFonts w:ascii="Times New Roman" w:eastAsia="Times New Roman" w:hAnsi="Times New Roman" w:cs="Times New Roman"/>
          <w:sz w:val="26"/>
          <w:szCs w:val="26"/>
          <w:lang w:eastAsia="ru-RU"/>
        </w:rPr>
        <w:t>883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B565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увеличившись в сравнении с аналогичным периодом прошлого года на </w:t>
      </w:r>
      <w:r w:rsidR="006B565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B565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B565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%. В расчете на душу населения это составляет 8</w:t>
      </w:r>
      <w:r w:rsidR="006B565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FB38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B56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 (в 201</w:t>
      </w:r>
      <w:r w:rsidR="00FB4E2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8</w:t>
      </w:r>
      <w:r w:rsidR="00495238">
        <w:rPr>
          <w:rFonts w:ascii="Times New Roman" w:eastAsia="Times New Roman" w:hAnsi="Times New Roman" w:cs="Times New Roman"/>
          <w:sz w:val="26"/>
          <w:szCs w:val="26"/>
          <w:lang w:eastAsia="ru-RU"/>
        </w:rPr>
        <w:t>256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9523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руб./мес.).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6B565D" w:rsidRPr="00C91637" w:rsidRDefault="006B565D" w:rsidP="00477B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77B10" w:rsidRPr="00C91637" w:rsidRDefault="00477B10" w:rsidP="00477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1637">
        <w:rPr>
          <w:rFonts w:ascii="Times New Roman" w:hAnsi="Times New Roman" w:cs="Times New Roman"/>
          <w:b/>
        </w:rPr>
        <w:t>Оборот розничной торговли за 201</w:t>
      </w:r>
      <w:r w:rsidR="0020379D">
        <w:rPr>
          <w:rFonts w:ascii="Times New Roman" w:hAnsi="Times New Roman" w:cs="Times New Roman"/>
          <w:b/>
        </w:rPr>
        <w:t>5</w:t>
      </w:r>
      <w:r w:rsidRPr="00C91637">
        <w:rPr>
          <w:rFonts w:ascii="Times New Roman" w:hAnsi="Times New Roman" w:cs="Times New Roman"/>
          <w:b/>
        </w:rPr>
        <w:t>-201</w:t>
      </w:r>
      <w:r w:rsidR="0020379D">
        <w:rPr>
          <w:rFonts w:ascii="Times New Roman" w:hAnsi="Times New Roman" w:cs="Times New Roman"/>
          <w:b/>
        </w:rPr>
        <w:t>7</w:t>
      </w:r>
      <w:r w:rsidRPr="00C91637">
        <w:rPr>
          <w:rFonts w:ascii="Times New Roman" w:hAnsi="Times New Roman" w:cs="Times New Roman"/>
          <w:b/>
        </w:rPr>
        <w:t>г.г.</w:t>
      </w:r>
    </w:p>
    <w:p w:rsidR="007F3471" w:rsidRDefault="00477B10" w:rsidP="00477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1637">
        <w:rPr>
          <w:rFonts w:ascii="Times New Roman" w:hAnsi="Times New Roman" w:cs="Times New Roman"/>
          <w:b/>
        </w:rPr>
        <w:t>(млрд. руб.)</w:t>
      </w:r>
    </w:p>
    <w:p w:rsidR="007F3471" w:rsidRPr="007F3471" w:rsidRDefault="007F3471" w:rsidP="00477B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3471" w:rsidRDefault="007F3471" w:rsidP="007F34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0C2AC3" wp14:editId="2D1AD04F">
            <wp:extent cx="3446178" cy="1754802"/>
            <wp:effectExtent l="0" t="19050" r="190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565D" w:rsidRDefault="006B565D" w:rsidP="007F34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B10" w:rsidRPr="00190E43" w:rsidRDefault="00477B10" w:rsidP="007F34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Существующая структура розничной торговли города включает в себя:</w:t>
      </w:r>
    </w:p>
    <w:p w:rsidR="00477B10" w:rsidRDefault="00477B10" w:rsidP="0047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- 2 торгово-развлекательных центра, торговой площадью 12522,</w:t>
      </w:r>
      <w:r w:rsidR="007967DC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., в том числе продовольственной –</w:t>
      </w:r>
      <w:r w:rsidR="007967DC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263</w:t>
      </w: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="007967DC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., непродовольственной –</w:t>
      </w:r>
      <w:r w:rsidR="007967DC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9891,7</w:t>
      </w: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  <w:proofErr w:type="gramEnd"/>
    </w:p>
    <w:p w:rsidR="00C07176" w:rsidRPr="00190E43" w:rsidRDefault="00C07176" w:rsidP="0047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 супермаркета,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торговых площадях торгово-развлекательных центров;</w:t>
      </w:r>
    </w:p>
    <w:p w:rsidR="00477B10" w:rsidRPr="00190E43" w:rsidRDefault="00477B10" w:rsidP="0047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- 19 торговых комплексов, торговой площадью 2</w:t>
      </w:r>
      <w:r w:rsidR="00E65805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54DCC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876</w:t>
      </w: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4DCC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., в том числе: продовольственной –</w:t>
      </w:r>
      <w:r w:rsidR="008405AC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846F58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="00E258A7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C2223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58A7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. и непродовольственной – 1</w:t>
      </w:r>
      <w:r w:rsidR="00E258A7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46F58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E258A7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65805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58A7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  <w:proofErr w:type="gramEnd"/>
    </w:p>
    <w:p w:rsidR="00477B10" w:rsidRPr="00190E43" w:rsidRDefault="00477B10" w:rsidP="0047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C116A6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дискаунтер</w:t>
      </w:r>
      <w:r w:rsidR="00C116A6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="00C116A6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торговой площадью – </w:t>
      </w:r>
      <w:r w:rsidR="00E00694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4DCC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742</w:t>
      </w:r>
      <w:r w:rsidR="00C116A6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4DCC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58A7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 числе: продовольственной – 2342,5 </w:t>
      </w:r>
      <w:proofErr w:type="spellStart"/>
      <w:r w:rsidR="00E258A7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E258A7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непродовольственной – 400 </w:t>
      </w:r>
      <w:proofErr w:type="spellStart"/>
      <w:r w:rsidR="00E258A7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E258A7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  <w:proofErr w:type="gramEnd"/>
    </w:p>
    <w:p w:rsidR="00477B10" w:rsidRPr="00190E43" w:rsidRDefault="00477B10" w:rsidP="0047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- 2 </w:t>
      </w:r>
      <w:proofErr w:type="gramStart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универсальных</w:t>
      </w:r>
      <w:proofErr w:type="gramEnd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магазина, торговой площадью 7</w:t>
      </w:r>
      <w:r w:rsidR="00C116A6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116A6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7445C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7445C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E7445C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7B10" w:rsidRPr="00190E43" w:rsidRDefault="00477B10" w:rsidP="0047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- 4</w:t>
      </w:r>
      <w:r w:rsidR="000B3B5E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продовольственных магазинов, торговой площадью </w:t>
      </w:r>
      <w:r w:rsidR="000B3B5E" w:rsidRPr="00190E43">
        <w:rPr>
          <w:rFonts w:ascii="Times New Roman" w:hAnsi="Times New Roman" w:cs="Times New Roman"/>
          <w:sz w:val="26"/>
          <w:szCs w:val="26"/>
          <w:lang w:eastAsia="ru-RU"/>
        </w:rPr>
        <w:t>2958,6 </w:t>
      </w:r>
      <w:proofErr w:type="spellStart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477B10" w:rsidRPr="00190E43" w:rsidRDefault="00477B10" w:rsidP="0047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- 49 непродовольственных магазинов, торговой площадью 7</w:t>
      </w:r>
      <w:r w:rsidR="00E7445C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663</w:t>
      </w: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7445C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477B10" w:rsidRPr="00C91637" w:rsidRDefault="00477B10" w:rsidP="0047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- 5 непродовольственных павильонов, торговой площадью 1</w:t>
      </w:r>
      <w:r w:rsidR="00E7445C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E7445C"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90E43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477B10" w:rsidRPr="00C91637" w:rsidRDefault="00477B10" w:rsidP="0047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7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киоск</w:t>
      </w:r>
      <w:r w:rsidR="00E744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35F" w:rsidRDefault="00477B10" w:rsidP="00477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Торговая площадь стационарных торговых объектов за 201</w:t>
      </w:r>
      <w:r w:rsidR="00F2101B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</w:t>
      </w:r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целом сократилась 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F2101B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F2101B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 %</w:t>
      </w:r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на 1</w:t>
      </w:r>
      <w:r w:rsidR="00805728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CE1D3D">
        <w:rPr>
          <w:rFonts w:ascii="Times New Roman" w:eastAsia="Calibri" w:hAnsi="Times New Roman" w:cs="Times New Roman"/>
          <w:sz w:val="26"/>
          <w:szCs w:val="26"/>
          <w:lang w:eastAsia="ru-RU"/>
        </w:rPr>
        <w:t>,3</w:t>
      </w:r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и составила 4</w:t>
      </w:r>
      <w:r w:rsidR="00F2101B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805728">
        <w:rPr>
          <w:rFonts w:ascii="Times New Roman" w:eastAsia="Calibri" w:hAnsi="Times New Roman" w:cs="Times New Roman"/>
          <w:sz w:val="26"/>
          <w:szCs w:val="26"/>
          <w:lang w:eastAsia="ru-RU"/>
        </w:rPr>
        <w:t>541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805728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(2016г. – 48</w:t>
      </w:r>
      <w:r w:rsidR="00805728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805728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CE1D3D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>.)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том числе: по продовольственным товарам </w:t>
      </w:r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>снизилась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</w:t>
      </w:r>
      <w:r w:rsidR="00F2101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F2101B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% </w:t>
      </w:r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или на 332,9 </w:t>
      </w:r>
      <w:proofErr w:type="spellStart"/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непродовольственным </w:t>
      </w:r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>товарам приросла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0,</w:t>
      </w:r>
      <w:r w:rsidR="00805728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</w:t>
      </w:r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>или на</w:t>
      </w:r>
      <w:r w:rsidR="008057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E1D3D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805728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CE1D3D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80572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CE1D3D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D563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FD218C" w:rsidRDefault="003E535F" w:rsidP="00477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Незначительное сокращение торговых площадей 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продовольственны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>ми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товар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>ами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практически не повлияло на 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уровень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обеспеченност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населения города 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площадью стаци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нарных торговых объектов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Фактическая обеспеченность населения площадью стаци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нарных торговых объектов</w:t>
      </w:r>
      <w:r w:rsidR="00FD218C" w:rsidRPr="00FD21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по-прежнему высока, 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составляет 12</w:t>
      </w:r>
      <w:r w:rsidR="001147C9">
        <w:rPr>
          <w:rFonts w:ascii="Times New Roman" w:eastAsia="Calibri" w:hAnsi="Times New Roman" w:cs="Times New Roman"/>
          <w:sz w:val="26"/>
          <w:szCs w:val="26"/>
          <w:lang w:eastAsia="ru-RU"/>
        </w:rPr>
        <w:t>48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. на 1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>000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населения 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превышает минимальный норматив в 2,8 раза (норматив - 447 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. на 1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>000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человек), в том числе: по продовольственным товарам фактическая обеспеченность составляет 3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>28,3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. на 1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>000 населения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, что в 2,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раза превышает минимальный норматив (147 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. на 1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>000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человек), по непродовольственными</w:t>
      </w:r>
      <w:proofErr w:type="gram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товарами – 9</w:t>
      </w:r>
      <w:r w:rsidR="001147C9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1147C9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D218C" w:rsidRPr="00FD21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D218C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на 1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>000 населения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что в 3,1 раза превышает минимальный норматив (300 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. на 1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>000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человек). Для справки: фактическая обеспеченность населения площадью стационарных торговых объектов в Иркутской области составляет 9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>07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. на 1</w:t>
      </w:r>
      <w:r w:rsidR="00FD218C">
        <w:rPr>
          <w:rFonts w:ascii="Times New Roman" w:eastAsia="Calibri" w:hAnsi="Times New Roman" w:cs="Times New Roman"/>
          <w:sz w:val="26"/>
          <w:szCs w:val="26"/>
          <w:lang w:eastAsia="ru-RU"/>
        </w:rPr>
        <w:t>000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 и превышает минимальный норматив в 1,8 раза.</w:t>
      </w:r>
    </w:p>
    <w:p w:rsidR="002756E7" w:rsidRPr="003466F3" w:rsidRDefault="00477B10" w:rsidP="0027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</w:rPr>
        <w:t xml:space="preserve">Во взаимодействии с </w:t>
      </w:r>
      <w:proofErr w:type="gramStart"/>
      <w:r w:rsidRPr="00C91637">
        <w:rPr>
          <w:rFonts w:ascii="Times New Roman" w:eastAsia="Times New Roman" w:hAnsi="Times New Roman" w:cs="Times New Roman"/>
          <w:sz w:val="26"/>
          <w:szCs w:val="26"/>
        </w:rPr>
        <w:t>бизнес-сообществом</w:t>
      </w:r>
      <w:proofErr w:type="gramEnd"/>
      <w:r w:rsidRPr="00C9163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муниципальным образованием проводилась работа по развитию </w:t>
      </w:r>
      <w:proofErr w:type="spellStart"/>
      <w:r w:rsidR="00F04464">
        <w:rPr>
          <w:rFonts w:ascii="Times New Roman" w:eastAsia="Times New Roman" w:hAnsi="Times New Roman" w:cs="Times New Roman"/>
          <w:sz w:val="26"/>
          <w:szCs w:val="26"/>
        </w:rPr>
        <w:t>многоформатной</w:t>
      </w:r>
      <w:proofErr w:type="spellEnd"/>
      <w:r w:rsidR="000F05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1637">
        <w:rPr>
          <w:rFonts w:ascii="Times New Roman" w:eastAsia="Times New Roman" w:hAnsi="Times New Roman" w:cs="Times New Roman"/>
          <w:sz w:val="26"/>
          <w:szCs w:val="26"/>
        </w:rPr>
        <w:t xml:space="preserve">инфраструктуры потребительского рынка и повышению конкуренции. </w:t>
      </w:r>
      <w:proofErr w:type="gramStart"/>
      <w:r w:rsidRPr="00C91637">
        <w:rPr>
          <w:rFonts w:ascii="Times New Roman" w:eastAsia="Times New Roman" w:hAnsi="Times New Roman" w:cs="Times New Roman"/>
          <w:sz w:val="26"/>
          <w:szCs w:val="26"/>
        </w:rPr>
        <w:t>Учитывая непростую экономическую ситуацию и ограниченность покупательской способности населения</w:t>
      </w:r>
      <w:r w:rsidR="002F5D8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91637">
        <w:rPr>
          <w:rFonts w:ascii="Times New Roman" w:eastAsia="Times New Roman" w:hAnsi="Times New Roman" w:cs="Times New Roman"/>
          <w:sz w:val="26"/>
          <w:szCs w:val="26"/>
        </w:rPr>
        <w:t xml:space="preserve"> в 201</w:t>
      </w:r>
      <w:r w:rsidR="00F0446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91637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2F5D89">
        <w:rPr>
          <w:rFonts w:ascii="Times New Roman" w:eastAsia="Times New Roman" w:hAnsi="Times New Roman" w:cs="Times New Roman"/>
          <w:sz w:val="26"/>
          <w:szCs w:val="26"/>
        </w:rPr>
        <w:t>открыл</w:t>
      </w:r>
      <w:r w:rsidR="00C0717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F5D8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07176">
        <w:rPr>
          <w:rFonts w:ascii="Times New Roman" w:eastAsia="Times New Roman" w:hAnsi="Times New Roman" w:cs="Times New Roman"/>
          <w:sz w:val="26"/>
          <w:szCs w:val="26"/>
        </w:rPr>
        <w:t>ь</w:t>
      </w:r>
      <w:r w:rsidR="002F5D89">
        <w:rPr>
          <w:rFonts w:ascii="Times New Roman" w:eastAsia="Times New Roman" w:hAnsi="Times New Roman" w:cs="Times New Roman"/>
          <w:sz w:val="26"/>
          <w:szCs w:val="26"/>
        </w:rPr>
        <w:t xml:space="preserve"> еще один </w:t>
      </w:r>
      <w:r w:rsidR="00E357B2">
        <w:rPr>
          <w:rFonts w:ascii="Times New Roman" w:eastAsia="Times New Roman" w:hAnsi="Times New Roman" w:cs="Times New Roman"/>
          <w:sz w:val="26"/>
          <w:szCs w:val="26"/>
        </w:rPr>
        <w:t xml:space="preserve">продовольственный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</w:rPr>
        <w:t>дискаунтер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4464">
        <w:rPr>
          <w:rFonts w:ascii="Times New Roman" w:eastAsia="Times New Roman" w:hAnsi="Times New Roman" w:cs="Times New Roman"/>
          <w:sz w:val="26"/>
          <w:szCs w:val="26"/>
        </w:rPr>
        <w:t xml:space="preserve">«Хлеб Соль» </w:t>
      </w:r>
      <w:r w:rsidRPr="00C91637">
        <w:rPr>
          <w:rFonts w:ascii="Times New Roman" w:eastAsia="Times New Roman" w:hAnsi="Times New Roman" w:cs="Times New Roman"/>
          <w:sz w:val="26"/>
          <w:szCs w:val="26"/>
        </w:rPr>
        <w:t>регионально</w:t>
      </w:r>
      <w:r w:rsidR="00F04464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proofErr w:type="spellStart"/>
      <w:r w:rsidR="00F04464">
        <w:rPr>
          <w:rFonts w:ascii="Times New Roman" w:eastAsia="Times New Roman" w:hAnsi="Times New Roman" w:cs="Times New Roman"/>
          <w:sz w:val="26"/>
          <w:szCs w:val="26"/>
        </w:rPr>
        <w:t>ритейлера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4464">
        <w:rPr>
          <w:rFonts w:ascii="Times New Roman" w:eastAsia="Times New Roman" w:hAnsi="Times New Roman" w:cs="Times New Roman"/>
          <w:sz w:val="26"/>
          <w:szCs w:val="26"/>
        </w:rPr>
        <w:t>ООО «Маяк»</w:t>
      </w:r>
      <w:r w:rsidR="002756E7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2756E7">
        <w:rPr>
          <w:rFonts w:ascii="Times New Roman" w:hAnsi="Times New Roman" w:cs="Times New Roman"/>
          <w:sz w:val="26"/>
          <w:szCs w:val="26"/>
          <w:lang w:eastAsia="ru-RU"/>
        </w:rPr>
        <w:t xml:space="preserve">магазин </w:t>
      </w:r>
      <w:r w:rsidR="002756E7" w:rsidRPr="003466F3">
        <w:rPr>
          <w:rFonts w:ascii="Times New Roman" w:hAnsi="Times New Roman" w:cs="Times New Roman"/>
          <w:sz w:val="26"/>
          <w:szCs w:val="26"/>
          <w:lang w:eastAsia="ru-RU"/>
        </w:rPr>
        <w:t xml:space="preserve">для всей семьи с широким ассортиментом товаров для дома по низким фиксированным ценам </w:t>
      </w:r>
      <w:r w:rsidR="002756E7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2756E7">
        <w:rPr>
          <w:rFonts w:ascii="Times New Roman" w:hAnsi="Times New Roman" w:cs="Times New Roman"/>
          <w:sz w:val="26"/>
          <w:szCs w:val="26"/>
          <w:lang w:val="en-US" w:eastAsia="ru-RU"/>
        </w:rPr>
        <w:t>Fix</w:t>
      </w:r>
      <w:r w:rsidR="002756E7" w:rsidRPr="003466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56E7">
        <w:rPr>
          <w:rFonts w:ascii="Times New Roman" w:hAnsi="Times New Roman" w:cs="Times New Roman"/>
          <w:sz w:val="26"/>
          <w:szCs w:val="26"/>
          <w:lang w:val="en-US" w:eastAsia="ru-RU"/>
        </w:rPr>
        <w:t>Price</w:t>
      </w:r>
      <w:r w:rsidR="002756E7">
        <w:rPr>
          <w:rFonts w:ascii="Times New Roman" w:hAnsi="Times New Roman" w:cs="Times New Roman"/>
          <w:sz w:val="26"/>
          <w:szCs w:val="26"/>
          <w:lang w:eastAsia="ru-RU"/>
        </w:rPr>
        <w:t>» (г. Красноярск), 2 магазина розничной торговой сети разливного пива «Пивной Причал» (г. Красноярск) и магазин «Классические алкогольные напитки РЕТРО</w:t>
      </w:r>
      <w:proofErr w:type="gramEnd"/>
      <w:r w:rsidR="002756E7">
        <w:rPr>
          <w:rFonts w:ascii="Times New Roman" w:hAnsi="Times New Roman" w:cs="Times New Roman"/>
          <w:sz w:val="26"/>
          <w:szCs w:val="26"/>
          <w:lang w:eastAsia="ru-RU"/>
        </w:rPr>
        <w:t>» (г. Красноярск)</w:t>
      </w:r>
      <w:r w:rsidR="009D1ED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D1ED4" w:rsidRPr="00050191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9D1ED4" w:rsidRPr="00050191">
        <w:rPr>
          <w:rFonts w:ascii="Times New Roman" w:hAnsi="Times New Roman" w:cs="Times New Roman"/>
          <w:sz w:val="26"/>
          <w:szCs w:val="26"/>
          <w:lang w:eastAsia="ru-RU"/>
        </w:rPr>
        <w:t>СтройДом</w:t>
      </w:r>
      <w:proofErr w:type="spellEnd"/>
      <w:r w:rsidR="009D1ED4" w:rsidRPr="00050191">
        <w:rPr>
          <w:rFonts w:ascii="Times New Roman" w:hAnsi="Times New Roman" w:cs="Times New Roman"/>
          <w:sz w:val="26"/>
          <w:szCs w:val="26"/>
          <w:lang w:eastAsia="ru-RU"/>
        </w:rPr>
        <w:t>».</w:t>
      </w:r>
      <w:r w:rsidR="002756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07176">
        <w:rPr>
          <w:rFonts w:ascii="Times New Roman" w:hAnsi="Times New Roman" w:cs="Times New Roman"/>
          <w:sz w:val="26"/>
          <w:szCs w:val="26"/>
          <w:lang w:eastAsia="ru-RU"/>
        </w:rPr>
        <w:t>Успешно работают на территории города объекты крупнейшей региональной торговой сети супермаркет «</w:t>
      </w:r>
      <w:proofErr w:type="spellStart"/>
      <w:r w:rsidR="00C07176">
        <w:rPr>
          <w:rFonts w:ascii="Times New Roman" w:hAnsi="Times New Roman" w:cs="Times New Roman"/>
          <w:sz w:val="26"/>
          <w:szCs w:val="26"/>
          <w:lang w:eastAsia="ru-RU"/>
        </w:rPr>
        <w:t>Слата</w:t>
      </w:r>
      <w:proofErr w:type="spellEnd"/>
      <w:r w:rsidR="00C07176">
        <w:rPr>
          <w:rFonts w:ascii="Times New Roman" w:hAnsi="Times New Roman" w:cs="Times New Roman"/>
          <w:sz w:val="26"/>
          <w:szCs w:val="26"/>
          <w:lang w:eastAsia="ru-RU"/>
        </w:rPr>
        <w:t>» и супермаркет «Абсолют» торговой сети из Республики Бурятия.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</w:rPr>
        <w:t>Многоформатность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</w:rPr>
        <w:t xml:space="preserve"> торговли и высокий уровень конкуренции между торговыми организациями препятствуют необоснованному росту цен на потребительском рынке города.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  <w:proofErr w:type="gramStart"/>
      <w:r w:rsidRPr="00C91637">
        <w:rPr>
          <w:rFonts w:ascii="Times New Roman" w:hAnsi="Times New Roman" w:cs="Times New Roman"/>
          <w:sz w:val="26"/>
          <w:szCs w:val="26"/>
        </w:rPr>
        <w:lastRenderedPageBreak/>
        <w:t>В формировании потребительского спроса на продовольственные товары местного и регионального производства оказывает влияние наличие широкой торговой сети товаропроизводителей из 7</w:t>
      </w:r>
      <w:r w:rsidR="00527457">
        <w:rPr>
          <w:rFonts w:ascii="Times New Roman" w:hAnsi="Times New Roman" w:cs="Times New Roman"/>
          <w:sz w:val="26"/>
          <w:szCs w:val="26"/>
        </w:rPr>
        <w:t>1</w:t>
      </w:r>
      <w:r w:rsidRPr="00C91637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527457">
        <w:rPr>
          <w:rFonts w:ascii="Times New Roman" w:hAnsi="Times New Roman" w:cs="Times New Roman"/>
          <w:sz w:val="26"/>
          <w:szCs w:val="26"/>
        </w:rPr>
        <w:t>а</w:t>
      </w:r>
      <w:r w:rsidRPr="00C91637">
        <w:rPr>
          <w:rFonts w:ascii="Times New Roman" w:hAnsi="Times New Roman" w:cs="Times New Roman"/>
          <w:sz w:val="26"/>
          <w:szCs w:val="26"/>
        </w:rPr>
        <w:t xml:space="preserve"> как собственных, так и работающих по принципу франчайзинга,</w:t>
      </w:r>
      <w:r w:rsidRPr="00C91637">
        <w:rPr>
          <w:rFonts w:ascii="Times New Roman" w:hAnsi="Times New Roman" w:cs="Times New Roman"/>
          <w:color w:val="000000"/>
          <w:sz w:val="26"/>
          <w:szCs w:val="26"/>
        </w:rPr>
        <w:t xml:space="preserve"> развитие которой позволяет населению приобретать широкий ассортимент качественных товаров по доступным ценам агрохолдинга «Саянский бройлер», СПК «</w:t>
      </w:r>
      <w:proofErr w:type="spellStart"/>
      <w:r w:rsidRPr="00C91637">
        <w:rPr>
          <w:rFonts w:ascii="Times New Roman" w:hAnsi="Times New Roman" w:cs="Times New Roman"/>
          <w:color w:val="000000"/>
          <w:sz w:val="26"/>
          <w:szCs w:val="26"/>
        </w:rPr>
        <w:t>Окинский</w:t>
      </w:r>
      <w:proofErr w:type="spellEnd"/>
      <w:r w:rsidRPr="00C91637">
        <w:rPr>
          <w:rFonts w:ascii="Times New Roman" w:hAnsi="Times New Roman" w:cs="Times New Roman"/>
          <w:color w:val="000000"/>
          <w:sz w:val="26"/>
          <w:szCs w:val="26"/>
        </w:rPr>
        <w:t>», представительства СХАО «</w:t>
      </w:r>
      <w:proofErr w:type="spellStart"/>
      <w:r w:rsidRPr="00C91637">
        <w:rPr>
          <w:rFonts w:ascii="Times New Roman" w:hAnsi="Times New Roman" w:cs="Times New Roman"/>
          <w:color w:val="000000"/>
          <w:sz w:val="26"/>
          <w:szCs w:val="26"/>
        </w:rPr>
        <w:t>Белореченское</w:t>
      </w:r>
      <w:proofErr w:type="spellEnd"/>
      <w:r w:rsidRPr="00C91637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="00527457">
        <w:rPr>
          <w:rFonts w:ascii="Times New Roman" w:hAnsi="Times New Roman" w:cs="Times New Roman"/>
          <w:color w:val="000000"/>
          <w:sz w:val="26"/>
          <w:szCs w:val="26"/>
        </w:rPr>
        <w:t>ООО «</w:t>
      </w:r>
      <w:proofErr w:type="spellStart"/>
      <w:r w:rsidR="00527457">
        <w:rPr>
          <w:rFonts w:ascii="Times New Roman" w:hAnsi="Times New Roman" w:cs="Times New Roman"/>
          <w:color w:val="000000"/>
          <w:sz w:val="26"/>
          <w:szCs w:val="26"/>
        </w:rPr>
        <w:t>Янта</w:t>
      </w:r>
      <w:proofErr w:type="spellEnd"/>
      <w:r w:rsidR="00527457">
        <w:rPr>
          <w:rFonts w:ascii="Times New Roman" w:hAnsi="Times New Roman" w:cs="Times New Roman"/>
          <w:color w:val="000000"/>
          <w:sz w:val="26"/>
          <w:szCs w:val="26"/>
        </w:rPr>
        <w:t xml:space="preserve">» (Иркутский </w:t>
      </w:r>
      <w:proofErr w:type="spellStart"/>
      <w:r w:rsidR="00527457">
        <w:rPr>
          <w:rFonts w:ascii="Times New Roman" w:hAnsi="Times New Roman" w:cs="Times New Roman"/>
          <w:color w:val="000000"/>
          <w:sz w:val="26"/>
          <w:szCs w:val="26"/>
        </w:rPr>
        <w:t>масложиркомбинат</w:t>
      </w:r>
      <w:proofErr w:type="spellEnd"/>
      <w:r w:rsidR="00527457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C91637">
        <w:rPr>
          <w:rFonts w:ascii="Times New Roman" w:hAnsi="Times New Roman" w:cs="Times New Roman"/>
          <w:color w:val="000000"/>
          <w:sz w:val="26"/>
          <w:szCs w:val="26"/>
        </w:rPr>
        <w:t>Зиминского</w:t>
      </w:r>
      <w:proofErr w:type="spellEnd"/>
      <w:r w:rsidRPr="00C91637">
        <w:rPr>
          <w:rFonts w:ascii="Times New Roman" w:hAnsi="Times New Roman" w:cs="Times New Roman"/>
          <w:color w:val="000000"/>
          <w:sz w:val="26"/>
          <w:szCs w:val="26"/>
        </w:rPr>
        <w:t xml:space="preserve"> хлебозавода, Сибирского пекаря (г. Черемхово), КФХ</w:t>
      </w:r>
      <w:proofErr w:type="gramEnd"/>
      <w:r w:rsidRPr="00C916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91637">
        <w:rPr>
          <w:rFonts w:ascii="Times New Roman" w:hAnsi="Times New Roman" w:cs="Times New Roman"/>
          <w:color w:val="000000"/>
          <w:sz w:val="26"/>
          <w:szCs w:val="26"/>
        </w:rPr>
        <w:t>Нукутского</w:t>
      </w:r>
      <w:proofErr w:type="spellEnd"/>
      <w:r w:rsidRPr="00C91637">
        <w:rPr>
          <w:rFonts w:ascii="Times New Roman" w:hAnsi="Times New Roman" w:cs="Times New Roman"/>
          <w:color w:val="000000"/>
          <w:sz w:val="26"/>
          <w:szCs w:val="26"/>
        </w:rPr>
        <w:t xml:space="preserve"> района - </w:t>
      </w:r>
      <w:r w:rsidR="00527457">
        <w:rPr>
          <w:rFonts w:ascii="Times New Roman" w:hAnsi="Times New Roman" w:cs="Times New Roman"/>
          <w:color w:val="000000"/>
          <w:sz w:val="26"/>
          <w:szCs w:val="26"/>
        </w:rPr>
        <w:t xml:space="preserve">СХССПК </w:t>
      </w:r>
      <w:r w:rsidRPr="00C91637">
        <w:rPr>
          <w:rFonts w:ascii="Times New Roman" w:hAnsi="Times New Roman" w:cs="Times New Roman"/>
          <w:color w:val="000000"/>
          <w:sz w:val="26"/>
          <w:szCs w:val="26"/>
        </w:rPr>
        <w:t>«Спектр» и др.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91637">
        <w:rPr>
          <w:rFonts w:ascii="Times New Roman" w:hAnsi="Times New Roman" w:cs="Times New Roman"/>
          <w:sz w:val="26"/>
          <w:szCs w:val="26"/>
        </w:rPr>
        <w:t>В 201</w:t>
      </w:r>
      <w:r w:rsidR="00527457">
        <w:rPr>
          <w:rFonts w:ascii="Times New Roman" w:hAnsi="Times New Roman" w:cs="Times New Roman"/>
          <w:sz w:val="26"/>
          <w:szCs w:val="26"/>
        </w:rPr>
        <w:t>7</w:t>
      </w:r>
      <w:r w:rsidRPr="00C91637">
        <w:rPr>
          <w:rFonts w:ascii="Times New Roman" w:hAnsi="Times New Roman" w:cs="Times New Roman"/>
          <w:sz w:val="26"/>
          <w:szCs w:val="26"/>
        </w:rPr>
        <w:t xml:space="preserve"> году торговая сеть товаропроизводителей сократилась на </w:t>
      </w:r>
      <w:r w:rsidR="00527457">
        <w:rPr>
          <w:rFonts w:ascii="Times New Roman" w:hAnsi="Times New Roman" w:cs="Times New Roman"/>
          <w:sz w:val="26"/>
          <w:szCs w:val="26"/>
        </w:rPr>
        <w:t>10</w:t>
      </w:r>
      <w:r w:rsidRPr="00C91637">
        <w:rPr>
          <w:rFonts w:ascii="Times New Roman" w:hAnsi="Times New Roman" w:cs="Times New Roman"/>
          <w:sz w:val="26"/>
          <w:szCs w:val="26"/>
        </w:rPr>
        <w:t xml:space="preserve">,1 % </w:t>
      </w:r>
      <w:r w:rsidR="00527457">
        <w:rPr>
          <w:rFonts w:ascii="Times New Roman" w:hAnsi="Times New Roman" w:cs="Times New Roman"/>
          <w:sz w:val="26"/>
          <w:szCs w:val="26"/>
        </w:rPr>
        <w:t xml:space="preserve">или 8 объектов </w:t>
      </w:r>
      <w:r w:rsidRPr="00C91637">
        <w:rPr>
          <w:rFonts w:ascii="Times New Roman" w:hAnsi="Times New Roman" w:cs="Times New Roman"/>
          <w:sz w:val="26"/>
          <w:szCs w:val="26"/>
        </w:rPr>
        <w:t>(в 201</w:t>
      </w:r>
      <w:r w:rsidR="00527457">
        <w:rPr>
          <w:rFonts w:ascii="Times New Roman" w:hAnsi="Times New Roman" w:cs="Times New Roman"/>
          <w:sz w:val="26"/>
          <w:szCs w:val="26"/>
        </w:rPr>
        <w:t>6</w:t>
      </w:r>
      <w:r w:rsidRPr="00C91637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91637">
        <w:rPr>
          <w:rFonts w:ascii="Times New Roman" w:hAnsi="Times New Roman" w:cs="Times New Roman"/>
          <w:sz w:val="26"/>
          <w:szCs w:val="26"/>
        </w:rPr>
        <w:t xml:space="preserve"> </w:t>
      </w:r>
      <w:r w:rsidR="00527457">
        <w:rPr>
          <w:rFonts w:ascii="Times New Roman" w:hAnsi="Times New Roman" w:cs="Times New Roman"/>
          <w:sz w:val="26"/>
          <w:szCs w:val="26"/>
        </w:rPr>
        <w:t>79</w:t>
      </w:r>
      <w:r w:rsidRPr="00C91637">
        <w:rPr>
          <w:rFonts w:ascii="Times New Roman" w:hAnsi="Times New Roman" w:cs="Times New Roman"/>
          <w:sz w:val="26"/>
          <w:szCs w:val="26"/>
        </w:rPr>
        <w:t xml:space="preserve"> объектов)</w:t>
      </w:r>
      <w:r w:rsidR="00527457">
        <w:rPr>
          <w:rFonts w:ascii="Times New Roman" w:hAnsi="Times New Roman" w:cs="Times New Roman"/>
          <w:sz w:val="26"/>
          <w:szCs w:val="26"/>
        </w:rPr>
        <w:t>, закрылись торговые объект</w:t>
      </w:r>
      <w:proofErr w:type="gramStart"/>
      <w:r w:rsidR="00527457">
        <w:rPr>
          <w:rFonts w:ascii="Times New Roman" w:hAnsi="Times New Roman" w:cs="Times New Roman"/>
          <w:sz w:val="26"/>
          <w:szCs w:val="26"/>
        </w:rPr>
        <w:t>ы ООО</w:t>
      </w:r>
      <w:proofErr w:type="gramEnd"/>
      <w:r w:rsidR="00527457">
        <w:rPr>
          <w:rFonts w:ascii="Times New Roman" w:hAnsi="Times New Roman" w:cs="Times New Roman"/>
          <w:sz w:val="26"/>
          <w:szCs w:val="26"/>
        </w:rPr>
        <w:t xml:space="preserve"> «Саянский хлеб» и СХАО «Приморский» (</w:t>
      </w:r>
      <w:proofErr w:type="spellStart"/>
      <w:r w:rsidR="00527457">
        <w:rPr>
          <w:rFonts w:ascii="Times New Roman" w:hAnsi="Times New Roman" w:cs="Times New Roman"/>
          <w:sz w:val="26"/>
          <w:szCs w:val="26"/>
        </w:rPr>
        <w:t>Нукутский</w:t>
      </w:r>
      <w:proofErr w:type="spellEnd"/>
      <w:r w:rsidR="00527457">
        <w:rPr>
          <w:rFonts w:ascii="Times New Roman" w:hAnsi="Times New Roman" w:cs="Times New Roman"/>
          <w:sz w:val="26"/>
          <w:szCs w:val="26"/>
        </w:rPr>
        <w:t xml:space="preserve"> район)</w:t>
      </w:r>
      <w:r w:rsidRPr="00C91637">
        <w:rPr>
          <w:rFonts w:ascii="Times New Roman" w:hAnsi="Times New Roman" w:cs="Times New Roman"/>
          <w:sz w:val="26"/>
          <w:szCs w:val="26"/>
        </w:rPr>
        <w:t>.</w:t>
      </w:r>
    </w:p>
    <w:p w:rsidR="003466F3" w:rsidRDefault="00477B10" w:rsidP="004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Продолжают успешно работать на территории </w:t>
      </w:r>
      <w:proofErr w:type="gram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</w:t>
      </w:r>
      <w:r w:rsidR="00E357B2">
        <w:rPr>
          <w:rFonts w:ascii="Times New Roman" w:hAnsi="Times New Roman" w:cs="Times New Roman"/>
          <w:sz w:val="26"/>
          <w:szCs w:val="26"/>
          <w:lang w:eastAsia="ru-RU"/>
        </w:rPr>
        <w:t xml:space="preserve">магазины 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по продаже непродовольственных товаров: </w:t>
      </w:r>
      <w:proofErr w:type="gram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Глория Джинс - детская одежда, </w:t>
      </w:r>
      <w:proofErr w:type="spell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>Юничел</w:t>
      </w:r>
      <w:proofErr w:type="spellEnd"/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- обувь, Кари </w:t>
      </w:r>
      <w:proofErr w:type="spell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>Кидс</w:t>
      </w:r>
      <w:proofErr w:type="spellEnd"/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>Бегемотик</w:t>
      </w:r>
      <w:proofErr w:type="spellEnd"/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- детские товары, Крем - парфюмерно-косметические товары, </w:t>
      </w:r>
      <w:r w:rsidR="001A0FBA">
        <w:rPr>
          <w:rFonts w:ascii="Times New Roman" w:hAnsi="Times New Roman" w:cs="Times New Roman"/>
          <w:sz w:val="26"/>
          <w:szCs w:val="26"/>
          <w:lang w:eastAsia="ru-RU"/>
        </w:rPr>
        <w:t xml:space="preserve">Эльдорадо, </w:t>
      </w:r>
      <w:proofErr w:type="spell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>Позитроника</w:t>
      </w:r>
      <w:proofErr w:type="spellEnd"/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C91637">
        <w:rPr>
          <w:rFonts w:ascii="Times New Roman" w:hAnsi="Times New Roman" w:cs="Times New Roman"/>
          <w:sz w:val="26"/>
          <w:szCs w:val="26"/>
          <w:lang w:val="en-US" w:eastAsia="ru-RU"/>
        </w:rPr>
        <w:t>DNS</w:t>
      </w:r>
      <w:r w:rsidR="00E357B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Сеть техники торговая сеть Эй-Би - бытовая </w:t>
      </w:r>
      <w:r w:rsidR="00E357B2">
        <w:rPr>
          <w:rFonts w:ascii="Times New Roman" w:hAnsi="Times New Roman" w:cs="Times New Roman"/>
          <w:sz w:val="26"/>
          <w:szCs w:val="26"/>
          <w:lang w:eastAsia="ru-RU"/>
        </w:rPr>
        <w:t xml:space="preserve">и цифровая 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техника, Евросеть-Ритейл (г.</w:t>
      </w:r>
      <w:r w:rsidR="00E357B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Новосибирск), Связной-Логистика (г. Москва), Билайн</w:t>
      </w:r>
      <w:r w:rsidR="00E357B2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Мегафон-Ритейл (г.</w:t>
      </w:r>
      <w:r w:rsidR="001A0FBA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Москва) - сотовые телефоны и аксессуары</w:t>
      </w:r>
      <w:r w:rsidR="00E357B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Евро-Стиль (г. Ангарск)</w:t>
      </w:r>
      <w:r w:rsidR="00E357B2">
        <w:rPr>
          <w:rFonts w:ascii="Times New Roman" w:hAnsi="Times New Roman" w:cs="Times New Roman"/>
          <w:sz w:val="26"/>
          <w:szCs w:val="26"/>
          <w:lang w:eastAsia="ru-RU"/>
        </w:rPr>
        <w:t>, Лотос, торговый дом Эй-Би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– мебель, </w:t>
      </w:r>
      <w:proofErr w:type="spellStart"/>
      <w:r w:rsidR="00C11450">
        <w:rPr>
          <w:rFonts w:ascii="Times New Roman" w:hAnsi="Times New Roman" w:cs="Times New Roman"/>
          <w:sz w:val="26"/>
          <w:szCs w:val="26"/>
          <w:lang w:val="en-US" w:eastAsia="ru-RU"/>
        </w:rPr>
        <w:t>Ascona</w:t>
      </w:r>
      <w:proofErr w:type="spellEnd"/>
      <w:r w:rsidR="00C11450">
        <w:rPr>
          <w:rFonts w:ascii="Times New Roman" w:hAnsi="Times New Roman" w:cs="Times New Roman"/>
          <w:sz w:val="26"/>
          <w:szCs w:val="26"/>
          <w:lang w:eastAsia="ru-RU"/>
        </w:rPr>
        <w:t xml:space="preserve"> (г. Ангарск)</w:t>
      </w:r>
      <w:r w:rsidR="00E357B2">
        <w:rPr>
          <w:rFonts w:ascii="Times New Roman" w:hAnsi="Times New Roman" w:cs="Times New Roman"/>
          <w:sz w:val="26"/>
          <w:szCs w:val="26"/>
          <w:lang w:eastAsia="ru-RU"/>
        </w:rPr>
        <w:t xml:space="preserve"> – матрацы и мебель,</w:t>
      </w:r>
      <w:r w:rsidR="00BE4A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>ПродалитЪ</w:t>
      </w:r>
      <w:proofErr w:type="spellEnd"/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(г. Усолье-Сибирское) – книги и</w:t>
      </w:r>
      <w:proofErr w:type="gramEnd"/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>канцтовары, Эконом, Оазис (г. Новосибирск), Виктория (г. Челябинск) – одежда для всей семьи</w:t>
      </w:r>
      <w:r w:rsidR="003466F3">
        <w:rPr>
          <w:rFonts w:ascii="Times New Roman" w:hAnsi="Times New Roman" w:cs="Times New Roman"/>
          <w:sz w:val="26"/>
          <w:szCs w:val="26"/>
          <w:lang w:eastAsia="ru-RU"/>
        </w:rPr>
        <w:t xml:space="preserve">, Малина-С (г. Новосибирск) - </w:t>
      </w:r>
      <w:r w:rsidR="003466F3" w:rsidRPr="003466F3">
        <w:rPr>
          <w:rFonts w:ascii="Times New Roman" w:hAnsi="Times New Roman" w:cs="Times New Roman"/>
          <w:sz w:val="26"/>
          <w:szCs w:val="26"/>
          <w:lang w:eastAsia="ru-RU"/>
        </w:rPr>
        <w:t>магазин для всей семьи с широким ассортиментом товаров для дома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65882" w:rsidRDefault="00477B10" w:rsidP="004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575E">
        <w:rPr>
          <w:rFonts w:ascii="Times New Roman" w:hAnsi="Times New Roman" w:cs="Times New Roman"/>
          <w:sz w:val="26"/>
          <w:szCs w:val="26"/>
          <w:lang w:eastAsia="ru-RU"/>
        </w:rPr>
        <w:t xml:space="preserve">В связи со снижением покупательского спроса в условиях сложившейся </w:t>
      </w:r>
      <w:r w:rsidR="00997256" w:rsidRPr="00B0575E">
        <w:rPr>
          <w:rFonts w:ascii="Times New Roman" w:hAnsi="Times New Roman" w:cs="Times New Roman"/>
          <w:sz w:val="26"/>
          <w:szCs w:val="26"/>
          <w:lang w:eastAsia="ru-RU"/>
        </w:rPr>
        <w:t xml:space="preserve">конкуренции </w:t>
      </w:r>
      <w:r w:rsidRPr="00B0575E">
        <w:rPr>
          <w:rFonts w:ascii="Times New Roman" w:hAnsi="Times New Roman" w:cs="Times New Roman"/>
          <w:sz w:val="26"/>
          <w:szCs w:val="26"/>
          <w:lang w:eastAsia="ru-RU"/>
        </w:rPr>
        <w:t xml:space="preserve">закрылись магазины: </w:t>
      </w:r>
      <w:proofErr w:type="gramStart"/>
      <w:r w:rsidR="009D1ED4" w:rsidRPr="00B0575E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1A0FBA" w:rsidRPr="00B0575E">
        <w:rPr>
          <w:rFonts w:ascii="Times New Roman" w:hAnsi="Times New Roman" w:cs="Times New Roman"/>
          <w:sz w:val="26"/>
          <w:szCs w:val="26"/>
          <w:lang w:eastAsia="ru-RU"/>
        </w:rPr>
        <w:t>Любимые дети</w:t>
      </w:r>
      <w:r w:rsidR="009D1ED4" w:rsidRPr="00B0575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0575E">
        <w:rPr>
          <w:rFonts w:ascii="Times New Roman" w:hAnsi="Times New Roman" w:cs="Times New Roman"/>
          <w:sz w:val="26"/>
          <w:szCs w:val="26"/>
          <w:lang w:eastAsia="ru-RU"/>
        </w:rPr>
        <w:t xml:space="preserve"> (Юбилейный, д. 22)</w:t>
      </w:r>
      <w:r w:rsidR="00212A66" w:rsidRPr="00B0575E">
        <w:rPr>
          <w:rFonts w:ascii="Times New Roman" w:hAnsi="Times New Roman" w:cs="Times New Roman"/>
          <w:sz w:val="26"/>
          <w:szCs w:val="26"/>
          <w:lang w:eastAsia="ru-RU"/>
        </w:rPr>
        <w:t xml:space="preserve">, продовольственные магазины </w:t>
      </w:r>
      <w:r w:rsidR="009D1ED4" w:rsidRPr="00B0575E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212A66" w:rsidRPr="00B0575E">
        <w:rPr>
          <w:rFonts w:ascii="Times New Roman" w:hAnsi="Times New Roman" w:cs="Times New Roman"/>
          <w:sz w:val="26"/>
          <w:szCs w:val="26"/>
          <w:lang w:eastAsia="ru-RU"/>
        </w:rPr>
        <w:t>Кедр</w:t>
      </w:r>
      <w:r w:rsidR="009D1ED4" w:rsidRPr="00B0575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0575E">
        <w:rPr>
          <w:rFonts w:ascii="Times New Roman" w:hAnsi="Times New Roman" w:cs="Times New Roman"/>
          <w:sz w:val="26"/>
          <w:szCs w:val="26"/>
          <w:lang w:eastAsia="ru-RU"/>
        </w:rPr>
        <w:t xml:space="preserve"> (Центральный, д.1)</w:t>
      </w:r>
      <w:r w:rsidR="00212A66" w:rsidRPr="00B0575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D1ED4" w:rsidRPr="00B0575E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212A66" w:rsidRPr="00B0575E">
        <w:rPr>
          <w:rFonts w:ascii="Times New Roman" w:hAnsi="Times New Roman" w:cs="Times New Roman"/>
          <w:sz w:val="26"/>
          <w:szCs w:val="26"/>
          <w:lang w:eastAsia="ru-RU"/>
        </w:rPr>
        <w:t>Конфетка</w:t>
      </w:r>
      <w:r w:rsidR="009D1ED4" w:rsidRPr="00B0575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0575E">
        <w:rPr>
          <w:rFonts w:ascii="Times New Roman" w:hAnsi="Times New Roman" w:cs="Times New Roman"/>
          <w:sz w:val="26"/>
          <w:szCs w:val="26"/>
          <w:lang w:eastAsia="ru-RU"/>
        </w:rPr>
        <w:t xml:space="preserve"> (Юбилейный, д.25)</w:t>
      </w:r>
      <w:r w:rsidR="00212A66" w:rsidRPr="00B0575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D1ED4" w:rsidRPr="00B0575E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212A66" w:rsidRPr="00B0575E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="009D1ED4" w:rsidRPr="00B0575E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212A66" w:rsidRPr="00B0575E">
        <w:rPr>
          <w:rFonts w:ascii="Times New Roman" w:hAnsi="Times New Roman" w:cs="Times New Roman"/>
          <w:sz w:val="26"/>
          <w:szCs w:val="26"/>
          <w:lang w:eastAsia="ru-RU"/>
        </w:rPr>
        <w:t>снежник</w:t>
      </w:r>
      <w:r w:rsidR="009D1ED4" w:rsidRPr="00B0575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0575E">
        <w:rPr>
          <w:rFonts w:ascii="Times New Roman" w:hAnsi="Times New Roman" w:cs="Times New Roman"/>
          <w:sz w:val="26"/>
          <w:szCs w:val="26"/>
          <w:lang w:eastAsia="ru-RU"/>
        </w:rPr>
        <w:t xml:space="preserve"> (Солнечный, д. 6)</w:t>
      </w:r>
      <w:r w:rsidR="00212A66" w:rsidRPr="00B0575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D1ED4" w:rsidRPr="00B0575E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212A66" w:rsidRPr="00B0575E">
        <w:rPr>
          <w:rFonts w:ascii="Times New Roman" w:hAnsi="Times New Roman" w:cs="Times New Roman"/>
          <w:sz w:val="26"/>
          <w:szCs w:val="26"/>
          <w:lang w:eastAsia="ru-RU"/>
        </w:rPr>
        <w:t>Никола</w:t>
      </w:r>
      <w:r w:rsidR="009D1ED4" w:rsidRPr="00B0575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0575E">
        <w:rPr>
          <w:rFonts w:ascii="Times New Roman" w:hAnsi="Times New Roman" w:cs="Times New Roman"/>
          <w:sz w:val="26"/>
          <w:szCs w:val="26"/>
          <w:lang w:eastAsia="ru-RU"/>
        </w:rPr>
        <w:t xml:space="preserve"> (Ленинградский, д.8)</w:t>
      </w:r>
      <w:r w:rsidR="00050191" w:rsidRPr="00B0575E">
        <w:rPr>
          <w:rFonts w:ascii="Times New Roman" w:hAnsi="Times New Roman" w:cs="Times New Roman"/>
          <w:sz w:val="26"/>
          <w:szCs w:val="26"/>
          <w:lang w:eastAsia="ru-RU"/>
        </w:rPr>
        <w:t>, «Автошина»</w:t>
      </w:r>
      <w:r w:rsidR="00B0575E">
        <w:rPr>
          <w:rFonts w:ascii="Times New Roman" w:hAnsi="Times New Roman" w:cs="Times New Roman"/>
          <w:sz w:val="26"/>
          <w:szCs w:val="26"/>
          <w:lang w:eastAsia="ru-RU"/>
        </w:rPr>
        <w:t xml:space="preserve"> (Юбилейный, автостоянка)</w:t>
      </w:r>
      <w:r w:rsidR="00050191" w:rsidRPr="00B0575E">
        <w:rPr>
          <w:rFonts w:ascii="Times New Roman" w:hAnsi="Times New Roman" w:cs="Times New Roman"/>
          <w:sz w:val="26"/>
          <w:szCs w:val="26"/>
          <w:lang w:eastAsia="ru-RU"/>
        </w:rPr>
        <w:t>, «Обувь-Промтовары»</w:t>
      </w:r>
      <w:r w:rsidR="00B0575E">
        <w:rPr>
          <w:rFonts w:ascii="Times New Roman" w:hAnsi="Times New Roman" w:cs="Times New Roman"/>
          <w:sz w:val="26"/>
          <w:szCs w:val="26"/>
          <w:lang w:eastAsia="ru-RU"/>
        </w:rPr>
        <w:t xml:space="preserve"> (Олимпийский, д. 11), «Продукты» (Солнечный, д. 4)</w:t>
      </w:r>
      <w:r w:rsidR="009D1ED4" w:rsidRPr="00B0575E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</w:t>
      </w:r>
      <w:proofErr w:type="gram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ценовой ситуацией на потребительском рынке города и содействия ее стабилизации в рамках установленных полномочий осуществлялось информационно-аналитическое наблюдение за состоянием продовольственного рынка муниципального образования. В рамках реализации Указов Президента России, направленных на обеспечение продовольственной безопасности, в условиях продления действия ограничений на поставку продовольствия из отдельных стран осуществлялся оперативный мониторинг цен на фиксированный перечень из 40 продовольственных товаров.</w:t>
      </w:r>
    </w:p>
    <w:p w:rsidR="009E785E" w:rsidRDefault="00477B10" w:rsidP="004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смягчения последствий инфляции и обеспечения доступности цен для </w:t>
      </w:r>
      <w:r w:rsidRPr="00C91637">
        <w:rPr>
          <w:rFonts w:ascii="Times New Roman" w:hAnsi="Times New Roman" w:cs="Times New Roman"/>
          <w:sz w:val="26"/>
          <w:szCs w:val="26"/>
        </w:rPr>
        <w:t xml:space="preserve">социально-незащищенных групп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населения в предприятиях розничной торговли 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еализуются социальные проекты «Социальная </w:t>
      </w:r>
      <w:proofErr w:type="gram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 на благо</w:t>
      </w:r>
      <w:proofErr w:type="gram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жителя города Саянска», «Цена на контроле», «Лучшая цена». Участники проектов реализуют социально значимые продовольственные товары с низкой торговой надбавкой </w:t>
      </w:r>
      <w:r w:rsidRPr="00C91637">
        <w:rPr>
          <w:rFonts w:ascii="Times New Roman" w:hAnsi="Times New Roman" w:cs="Times New Roman"/>
          <w:sz w:val="26"/>
          <w:szCs w:val="26"/>
        </w:rPr>
        <w:t>в 18-ти объектах (201</w:t>
      </w:r>
      <w:r w:rsidR="009E785E">
        <w:rPr>
          <w:rFonts w:ascii="Times New Roman" w:hAnsi="Times New Roman" w:cs="Times New Roman"/>
          <w:sz w:val="26"/>
          <w:szCs w:val="26"/>
        </w:rPr>
        <w:t>6</w:t>
      </w:r>
      <w:r w:rsidRPr="00C91637">
        <w:rPr>
          <w:rFonts w:ascii="Times New Roman" w:hAnsi="Times New Roman" w:cs="Times New Roman"/>
          <w:sz w:val="26"/>
          <w:szCs w:val="26"/>
        </w:rPr>
        <w:t>г.-</w:t>
      </w:r>
      <w:r w:rsidR="009E785E">
        <w:rPr>
          <w:rFonts w:ascii="Times New Roman" w:hAnsi="Times New Roman" w:cs="Times New Roman"/>
          <w:sz w:val="26"/>
          <w:szCs w:val="26"/>
        </w:rPr>
        <w:t>18</w:t>
      </w:r>
      <w:r w:rsidRPr="00C9163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77B10" w:rsidRPr="00364D5A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64D5A">
        <w:rPr>
          <w:rFonts w:ascii="Times New Roman" w:eastAsia="Times New Roman" w:hAnsi="Times New Roman" w:cs="Times New Roman"/>
          <w:sz w:val="26"/>
          <w:szCs w:val="26"/>
        </w:rPr>
        <w:t xml:space="preserve">С целью привлечения индивидуальных предпринимателей, крестьянско-фермерских и личных подсобных хозяйств, осуществляющих производство продуктов питания проведено 6 сезонных ярмарок, </w:t>
      </w:r>
      <w:r w:rsidR="009E785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64D5A">
        <w:rPr>
          <w:rFonts w:ascii="Times New Roman" w:eastAsia="Times New Roman" w:hAnsi="Times New Roman" w:cs="Times New Roman"/>
          <w:sz w:val="26"/>
          <w:szCs w:val="26"/>
        </w:rPr>
        <w:t xml:space="preserve"> праздничных ярмарки, </w:t>
      </w:r>
      <w:r w:rsidR="009E785E">
        <w:rPr>
          <w:rFonts w:ascii="Times New Roman" w:eastAsia="Times New Roman" w:hAnsi="Times New Roman" w:cs="Times New Roman"/>
          <w:sz w:val="26"/>
          <w:szCs w:val="26"/>
        </w:rPr>
        <w:t>52</w:t>
      </w:r>
      <w:r w:rsidRPr="00364D5A">
        <w:rPr>
          <w:rFonts w:ascii="Times New Roman" w:eastAsia="Times New Roman" w:hAnsi="Times New Roman" w:cs="Times New Roman"/>
          <w:sz w:val="26"/>
          <w:szCs w:val="26"/>
        </w:rPr>
        <w:t xml:space="preserve"> ярмарки «выходного дня» по реализации</w:t>
      </w:r>
      <w:r w:rsidR="00DC649A">
        <w:rPr>
          <w:rFonts w:ascii="Times New Roman" w:eastAsia="Times New Roman" w:hAnsi="Times New Roman" w:cs="Times New Roman"/>
          <w:sz w:val="26"/>
          <w:szCs w:val="26"/>
        </w:rPr>
        <w:t xml:space="preserve"> картофеля,</w:t>
      </w:r>
      <w:r w:rsidRPr="00364D5A">
        <w:rPr>
          <w:rFonts w:ascii="Times New Roman" w:eastAsia="Times New Roman" w:hAnsi="Times New Roman" w:cs="Times New Roman"/>
          <w:sz w:val="26"/>
          <w:szCs w:val="26"/>
        </w:rPr>
        <w:t xml:space="preserve"> овощей, фруктов, зелени, ягод, </w:t>
      </w:r>
      <w:r w:rsidR="00DC649A">
        <w:rPr>
          <w:rFonts w:ascii="Times New Roman" w:eastAsia="Times New Roman" w:hAnsi="Times New Roman" w:cs="Times New Roman"/>
          <w:sz w:val="26"/>
          <w:szCs w:val="26"/>
        </w:rPr>
        <w:t xml:space="preserve">грибов, меда, </w:t>
      </w:r>
      <w:r w:rsidRPr="00364D5A">
        <w:rPr>
          <w:rFonts w:ascii="Times New Roman" w:eastAsia="Times New Roman" w:hAnsi="Times New Roman" w:cs="Times New Roman"/>
          <w:sz w:val="26"/>
          <w:szCs w:val="26"/>
        </w:rPr>
        <w:t xml:space="preserve">рыбы и рыботоваров, </w:t>
      </w:r>
      <w:r w:rsidR="00DC649A">
        <w:rPr>
          <w:rFonts w:ascii="Times New Roman" w:eastAsia="Times New Roman" w:hAnsi="Times New Roman" w:cs="Times New Roman"/>
          <w:sz w:val="26"/>
          <w:szCs w:val="26"/>
        </w:rPr>
        <w:t xml:space="preserve">яйца, </w:t>
      </w:r>
      <w:r w:rsidRPr="00364D5A">
        <w:rPr>
          <w:rFonts w:ascii="Times New Roman" w:eastAsia="Times New Roman" w:hAnsi="Times New Roman" w:cs="Times New Roman"/>
          <w:sz w:val="26"/>
          <w:szCs w:val="26"/>
        </w:rPr>
        <w:t>молока и молочной продукции, мяс</w:t>
      </w:r>
      <w:r w:rsidR="00DC649A">
        <w:rPr>
          <w:rFonts w:ascii="Times New Roman" w:eastAsia="Times New Roman" w:hAnsi="Times New Roman" w:cs="Times New Roman"/>
          <w:sz w:val="26"/>
          <w:szCs w:val="26"/>
        </w:rPr>
        <w:t>ных полуфабрикатов</w:t>
      </w:r>
      <w:r w:rsidRPr="00364D5A">
        <w:rPr>
          <w:rFonts w:ascii="Times New Roman" w:eastAsia="Times New Roman" w:hAnsi="Times New Roman" w:cs="Times New Roman"/>
          <w:sz w:val="26"/>
          <w:szCs w:val="26"/>
        </w:rPr>
        <w:t>, хлебобулочных</w:t>
      </w:r>
      <w:r w:rsidR="00DC649A">
        <w:rPr>
          <w:rFonts w:ascii="Times New Roman" w:eastAsia="Times New Roman" w:hAnsi="Times New Roman" w:cs="Times New Roman"/>
          <w:sz w:val="26"/>
          <w:szCs w:val="26"/>
        </w:rPr>
        <w:t>, кулинарных и кондитерских</w:t>
      </w:r>
      <w:r w:rsidRPr="00364D5A">
        <w:rPr>
          <w:rFonts w:ascii="Times New Roman" w:eastAsia="Times New Roman" w:hAnsi="Times New Roman" w:cs="Times New Roman"/>
          <w:sz w:val="26"/>
          <w:szCs w:val="26"/>
        </w:rPr>
        <w:t xml:space="preserve"> изделий</w:t>
      </w:r>
      <w:r w:rsidR="00DC64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4D5A">
        <w:rPr>
          <w:rFonts w:ascii="Times New Roman" w:eastAsia="Times New Roman" w:hAnsi="Times New Roman" w:cs="Times New Roman"/>
          <w:sz w:val="26"/>
          <w:szCs w:val="26"/>
        </w:rPr>
        <w:t xml:space="preserve">с участием: </w:t>
      </w:r>
      <w:r w:rsidRPr="00364D5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товаропроизводителей г. Саянска, КФХ и ЛПХ </w:t>
      </w:r>
      <w:proofErr w:type="spellStart"/>
      <w:r w:rsidRPr="00364D5A">
        <w:rPr>
          <w:rFonts w:ascii="Times New Roman" w:eastAsia="Times New Roman" w:hAnsi="Times New Roman" w:cs="Times New Roman"/>
          <w:sz w:val="26"/>
          <w:szCs w:val="26"/>
        </w:rPr>
        <w:t>Зиминского</w:t>
      </w:r>
      <w:proofErr w:type="spellEnd"/>
      <w:r w:rsidRPr="00364D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64D5A">
        <w:rPr>
          <w:rFonts w:ascii="Times New Roman" w:eastAsia="Times New Roman" w:hAnsi="Times New Roman" w:cs="Times New Roman"/>
          <w:sz w:val="26"/>
          <w:szCs w:val="26"/>
        </w:rPr>
        <w:t>Куйтунского</w:t>
      </w:r>
      <w:proofErr w:type="spellEnd"/>
      <w:r w:rsidRPr="00364D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64D5A">
        <w:rPr>
          <w:rFonts w:ascii="Times New Roman" w:eastAsia="Times New Roman" w:hAnsi="Times New Roman" w:cs="Times New Roman"/>
          <w:sz w:val="26"/>
          <w:szCs w:val="26"/>
        </w:rPr>
        <w:t>Нукутского</w:t>
      </w:r>
      <w:proofErr w:type="spellEnd"/>
      <w:proofErr w:type="gramEnd"/>
      <w:r w:rsidRPr="00364D5A">
        <w:rPr>
          <w:rFonts w:ascii="Times New Roman" w:eastAsia="Times New Roman" w:hAnsi="Times New Roman" w:cs="Times New Roman"/>
          <w:sz w:val="26"/>
          <w:szCs w:val="26"/>
        </w:rPr>
        <w:t xml:space="preserve"> районов, садоводов и дачников </w:t>
      </w:r>
      <w:proofErr w:type="gramStart"/>
      <w:r w:rsidRPr="00364D5A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364D5A">
        <w:rPr>
          <w:rFonts w:ascii="Times New Roman" w:eastAsia="Times New Roman" w:hAnsi="Times New Roman" w:cs="Times New Roman"/>
          <w:sz w:val="26"/>
          <w:szCs w:val="26"/>
        </w:rPr>
        <w:t xml:space="preserve"> образования.</w:t>
      </w:r>
    </w:p>
    <w:p w:rsidR="00477B10" w:rsidRPr="00364D5A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весенне-летний период организована работа «зеленных рынков» </w:t>
      </w:r>
      <w:r w:rsidRPr="00364D5A">
        <w:rPr>
          <w:rFonts w:ascii="Times New Roman" w:eastAsia="Times New Roman" w:hAnsi="Times New Roman" w:cs="Times New Roman"/>
          <w:sz w:val="26"/>
          <w:szCs w:val="26"/>
        </w:rPr>
        <w:t>продукции садоводов и дачников муниципального образования на оборудованных торговых прилавках около</w:t>
      </w:r>
      <w:r w:rsidR="00DC649A">
        <w:rPr>
          <w:rFonts w:ascii="Times New Roman" w:eastAsia="Times New Roman" w:hAnsi="Times New Roman" w:cs="Times New Roman"/>
          <w:sz w:val="26"/>
          <w:szCs w:val="26"/>
        </w:rPr>
        <w:t xml:space="preserve"> торговых комплексов № 71 и «Саянский», магазина «</w:t>
      </w:r>
      <w:proofErr w:type="spellStart"/>
      <w:r w:rsidR="00DC649A">
        <w:rPr>
          <w:rFonts w:ascii="Times New Roman" w:eastAsia="Times New Roman" w:hAnsi="Times New Roman" w:cs="Times New Roman"/>
          <w:sz w:val="26"/>
          <w:szCs w:val="26"/>
        </w:rPr>
        <w:t>Восточка</w:t>
      </w:r>
      <w:proofErr w:type="spellEnd"/>
      <w:r w:rsidR="00DC649A">
        <w:rPr>
          <w:rFonts w:ascii="Times New Roman" w:eastAsia="Times New Roman" w:hAnsi="Times New Roman" w:cs="Times New Roman"/>
          <w:sz w:val="26"/>
          <w:szCs w:val="26"/>
        </w:rPr>
        <w:t>», универсама «Морковка»</w:t>
      </w:r>
      <w:r w:rsidRPr="00364D5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477B10" w:rsidRPr="00C91637" w:rsidRDefault="00DC649A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год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мая по сентябрь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фонтана </w:t>
      </w:r>
      <w:r w:rsidR="00477B10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 специализированная тематическая ярмарка по продаже изделий народных художественных промыслов.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37">
        <w:rPr>
          <w:rFonts w:ascii="Times New Roman" w:hAnsi="Times New Roman" w:cs="Times New Roman"/>
          <w:sz w:val="26"/>
          <w:szCs w:val="26"/>
        </w:rPr>
        <w:t>В целях повышения качества товаров и культуры обслуживания населения проведены мероприятия:</w:t>
      </w:r>
    </w:p>
    <w:p w:rsidR="00456B0D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8451C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месячник</w:t>
      </w:r>
      <w:r w:rsidR="0068451C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C91637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="0068451C">
        <w:rPr>
          <w:rFonts w:ascii="Times New Roman" w:hAnsi="Times New Roman" w:cs="Times New Roman"/>
          <w:sz w:val="26"/>
          <w:szCs w:val="26"/>
        </w:rPr>
        <w:t xml:space="preserve"> и безопасности</w:t>
      </w:r>
      <w:r w:rsidRPr="00C91637">
        <w:rPr>
          <w:rFonts w:ascii="Times New Roman" w:hAnsi="Times New Roman" w:cs="Times New Roman"/>
          <w:sz w:val="26"/>
          <w:szCs w:val="26"/>
        </w:rPr>
        <w:t xml:space="preserve"> товаров и услуг (201</w:t>
      </w:r>
      <w:r w:rsidR="0068451C">
        <w:rPr>
          <w:rFonts w:ascii="Times New Roman" w:hAnsi="Times New Roman" w:cs="Times New Roman"/>
          <w:sz w:val="26"/>
          <w:szCs w:val="26"/>
        </w:rPr>
        <w:t>6</w:t>
      </w:r>
      <w:r w:rsidRPr="00C91637">
        <w:rPr>
          <w:rFonts w:ascii="Times New Roman" w:hAnsi="Times New Roman" w:cs="Times New Roman"/>
          <w:sz w:val="26"/>
          <w:szCs w:val="26"/>
        </w:rPr>
        <w:t xml:space="preserve">г. – 4). В период проведения месячников были организованы 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телефонные «горячие линии» </w:t>
      </w:r>
      <w:r w:rsidRPr="00C91637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68451C" w:rsidRPr="00C91637">
        <w:rPr>
          <w:rFonts w:ascii="Times New Roman" w:hAnsi="Times New Roman" w:cs="Times New Roman"/>
          <w:sz w:val="26"/>
          <w:szCs w:val="26"/>
        </w:rPr>
        <w:t>защиты прав потребителей</w:t>
      </w:r>
      <w:r w:rsidR="0068451C">
        <w:rPr>
          <w:rFonts w:ascii="Times New Roman" w:hAnsi="Times New Roman" w:cs="Times New Roman"/>
          <w:sz w:val="26"/>
          <w:szCs w:val="26"/>
        </w:rPr>
        <w:t>,</w:t>
      </w:r>
      <w:r w:rsidR="0068451C" w:rsidRPr="00C91637">
        <w:rPr>
          <w:rFonts w:ascii="Times New Roman" w:hAnsi="Times New Roman" w:cs="Times New Roman"/>
          <w:sz w:val="26"/>
          <w:szCs w:val="26"/>
        </w:rPr>
        <w:t xml:space="preserve"> </w:t>
      </w:r>
      <w:r w:rsidRPr="00C91637">
        <w:rPr>
          <w:rFonts w:ascii="Times New Roman" w:hAnsi="Times New Roman" w:cs="Times New Roman"/>
          <w:sz w:val="26"/>
          <w:szCs w:val="26"/>
        </w:rPr>
        <w:t>качества и безопасности ранних овощей и фруктов, мяса и иных продуктов животноводства,</w:t>
      </w:r>
      <w:r w:rsidR="0068451C">
        <w:rPr>
          <w:rFonts w:ascii="Times New Roman" w:hAnsi="Times New Roman" w:cs="Times New Roman"/>
          <w:sz w:val="26"/>
          <w:szCs w:val="26"/>
        </w:rPr>
        <w:t xml:space="preserve"> </w:t>
      </w:r>
      <w:r w:rsidRPr="00C91637">
        <w:rPr>
          <w:rFonts w:ascii="Times New Roman" w:hAnsi="Times New Roman" w:cs="Times New Roman"/>
          <w:sz w:val="26"/>
          <w:szCs w:val="26"/>
        </w:rPr>
        <w:t xml:space="preserve">пиротехнической продукции, </w:t>
      </w:r>
      <w:r w:rsidR="0068451C">
        <w:rPr>
          <w:rFonts w:ascii="Times New Roman" w:hAnsi="Times New Roman" w:cs="Times New Roman"/>
          <w:sz w:val="26"/>
          <w:szCs w:val="26"/>
        </w:rPr>
        <w:t>кабельной продукции</w:t>
      </w:r>
      <w:r w:rsidR="00213C6C">
        <w:rPr>
          <w:rFonts w:ascii="Times New Roman" w:hAnsi="Times New Roman" w:cs="Times New Roman"/>
          <w:sz w:val="26"/>
          <w:szCs w:val="26"/>
        </w:rPr>
        <w:t xml:space="preserve">, в ходе которых </w:t>
      </w:r>
      <w:r w:rsidRPr="00C91637">
        <w:rPr>
          <w:rFonts w:ascii="Times New Roman" w:eastAsia="Times New Roman" w:hAnsi="Times New Roman" w:cs="Times New Roman"/>
          <w:sz w:val="26"/>
          <w:szCs w:val="26"/>
        </w:rPr>
        <w:t>проводил</w:t>
      </w:r>
      <w:r w:rsidR="00456B0D">
        <w:rPr>
          <w:rFonts w:ascii="Times New Roman" w:eastAsia="Times New Roman" w:hAnsi="Times New Roman" w:cs="Times New Roman"/>
          <w:sz w:val="26"/>
          <w:szCs w:val="26"/>
        </w:rPr>
        <w:t>ись:</w:t>
      </w:r>
    </w:p>
    <w:p w:rsidR="00456B0D" w:rsidRDefault="00456B0D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мониторинг наличия в продаже свинины и продуктов, полученных от убоя свиней, поступивших из эпизоотического очага африканской чумы и угрожаемых зон, расположенных на территории Красноярского края;</w:t>
      </w:r>
    </w:p>
    <w:p w:rsidR="00212A66" w:rsidRPr="00C91637" w:rsidRDefault="00477B10" w:rsidP="0021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A70B8">
        <w:rPr>
          <w:rFonts w:ascii="Times New Roman" w:eastAsia="Times New Roman" w:hAnsi="Times New Roman" w:cs="Times New Roman"/>
          <w:sz w:val="26"/>
          <w:szCs w:val="26"/>
        </w:rPr>
        <w:t>рейд</w:t>
      </w:r>
      <w:r w:rsidR="00456B0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EA70B8">
        <w:rPr>
          <w:rFonts w:ascii="Times New Roman" w:eastAsia="Times New Roman" w:hAnsi="Times New Roman" w:cs="Times New Roman"/>
          <w:sz w:val="26"/>
          <w:szCs w:val="26"/>
        </w:rPr>
        <w:t xml:space="preserve"> по пресечению мест не установленной торговли совместно с отдел</w:t>
      </w:r>
      <w:r w:rsidR="00456B0D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EA70B8">
        <w:rPr>
          <w:rFonts w:ascii="Times New Roman" w:eastAsia="Times New Roman" w:hAnsi="Times New Roman" w:cs="Times New Roman"/>
          <w:sz w:val="26"/>
          <w:szCs w:val="26"/>
        </w:rPr>
        <w:t xml:space="preserve"> полиции «</w:t>
      </w:r>
      <w:proofErr w:type="spellStart"/>
      <w:r w:rsidRPr="00EA70B8">
        <w:rPr>
          <w:rFonts w:ascii="Times New Roman" w:eastAsia="Times New Roman" w:hAnsi="Times New Roman" w:cs="Times New Roman"/>
          <w:sz w:val="26"/>
          <w:szCs w:val="26"/>
        </w:rPr>
        <w:t>Зиминский</w:t>
      </w:r>
      <w:proofErr w:type="spellEnd"/>
      <w:r w:rsidRPr="00EA70B8">
        <w:rPr>
          <w:rFonts w:ascii="Times New Roman" w:eastAsia="Times New Roman" w:hAnsi="Times New Roman" w:cs="Times New Roman"/>
          <w:sz w:val="26"/>
          <w:szCs w:val="26"/>
        </w:rPr>
        <w:t xml:space="preserve">» (дислокация г.Саянск), </w:t>
      </w:r>
      <w:r w:rsidR="00213C6C">
        <w:rPr>
          <w:rFonts w:ascii="Times New Roman" w:eastAsia="Times New Roman" w:hAnsi="Times New Roman" w:cs="Times New Roman"/>
          <w:sz w:val="26"/>
          <w:szCs w:val="26"/>
        </w:rPr>
        <w:t xml:space="preserve">ветеринарной службой и </w:t>
      </w:r>
      <w:proofErr w:type="spellStart"/>
      <w:r w:rsidRPr="00EA70B8">
        <w:rPr>
          <w:rFonts w:ascii="Times New Roman" w:eastAsia="Times New Roman" w:hAnsi="Times New Roman" w:cs="Times New Roman"/>
          <w:sz w:val="26"/>
          <w:szCs w:val="26"/>
        </w:rPr>
        <w:t>Зиминским</w:t>
      </w:r>
      <w:proofErr w:type="spellEnd"/>
      <w:r w:rsidRPr="00EA70B8">
        <w:rPr>
          <w:rFonts w:ascii="Times New Roman" w:eastAsia="Times New Roman" w:hAnsi="Times New Roman" w:cs="Times New Roman"/>
          <w:sz w:val="26"/>
          <w:szCs w:val="26"/>
        </w:rPr>
        <w:t xml:space="preserve"> межрайонным отделом </w:t>
      </w:r>
      <w:proofErr w:type="spellStart"/>
      <w:r w:rsidRPr="00EA70B8">
        <w:rPr>
          <w:rFonts w:ascii="Times New Roman" w:eastAsia="Times New Roman" w:hAnsi="Times New Roman" w:cs="Times New Roman"/>
          <w:sz w:val="26"/>
          <w:szCs w:val="26"/>
        </w:rPr>
        <w:t>Россельхознадзора</w:t>
      </w:r>
      <w:proofErr w:type="spellEnd"/>
      <w:r w:rsidR="00213C6C">
        <w:rPr>
          <w:rFonts w:ascii="Times New Roman" w:eastAsia="Times New Roman" w:hAnsi="Times New Roman" w:cs="Times New Roman"/>
          <w:sz w:val="26"/>
          <w:szCs w:val="26"/>
        </w:rPr>
        <w:t>.</w:t>
      </w:r>
      <w:r w:rsidR="00212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37">
        <w:rPr>
          <w:rFonts w:ascii="Times New Roman" w:hAnsi="Times New Roman" w:cs="Times New Roman"/>
          <w:sz w:val="26"/>
          <w:szCs w:val="26"/>
        </w:rPr>
        <w:t>- </w:t>
      </w:r>
      <w:r w:rsidR="00213C6C">
        <w:rPr>
          <w:rFonts w:ascii="Times New Roman" w:hAnsi="Times New Roman" w:cs="Times New Roman"/>
          <w:sz w:val="26"/>
          <w:szCs w:val="26"/>
        </w:rPr>
        <w:t xml:space="preserve">организована </w:t>
      </w:r>
      <w:r w:rsidRPr="00C91637">
        <w:rPr>
          <w:rFonts w:ascii="Times New Roman" w:hAnsi="Times New Roman" w:cs="Times New Roman"/>
          <w:sz w:val="26"/>
          <w:szCs w:val="26"/>
        </w:rPr>
        <w:t>работа постоянно действующ</w:t>
      </w:r>
      <w:r w:rsidR="00213C6C">
        <w:rPr>
          <w:rFonts w:ascii="Times New Roman" w:hAnsi="Times New Roman" w:cs="Times New Roman"/>
          <w:sz w:val="26"/>
          <w:szCs w:val="26"/>
        </w:rPr>
        <w:t>ей</w:t>
      </w:r>
      <w:r w:rsidRPr="00C91637">
        <w:rPr>
          <w:rFonts w:ascii="Times New Roman" w:hAnsi="Times New Roman" w:cs="Times New Roman"/>
          <w:sz w:val="26"/>
          <w:szCs w:val="26"/>
        </w:rPr>
        <w:t xml:space="preserve"> телефонн</w:t>
      </w:r>
      <w:r w:rsidR="00213C6C">
        <w:rPr>
          <w:rFonts w:ascii="Times New Roman" w:hAnsi="Times New Roman" w:cs="Times New Roman"/>
          <w:sz w:val="26"/>
          <w:szCs w:val="26"/>
        </w:rPr>
        <w:t>ой</w:t>
      </w:r>
      <w:r w:rsidRPr="00C91637">
        <w:rPr>
          <w:rFonts w:ascii="Times New Roman" w:hAnsi="Times New Roman" w:cs="Times New Roman"/>
          <w:sz w:val="26"/>
          <w:szCs w:val="26"/>
        </w:rPr>
        <w:t xml:space="preserve"> «горяч</w:t>
      </w:r>
      <w:r w:rsidR="00213C6C">
        <w:rPr>
          <w:rFonts w:ascii="Times New Roman" w:hAnsi="Times New Roman" w:cs="Times New Roman"/>
          <w:sz w:val="26"/>
          <w:szCs w:val="26"/>
        </w:rPr>
        <w:t>ей</w:t>
      </w:r>
      <w:r w:rsidRPr="00C91637">
        <w:rPr>
          <w:rFonts w:ascii="Times New Roman" w:hAnsi="Times New Roman" w:cs="Times New Roman"/>
          <w:sz w:val="26"/>
          <w:szCs w:val="26"/>
        </w:rPr>
        <w:t xml:space="preserve"> лини</w:t>
      </w:r>
      <w:r w:rsidR="00213C6C">
        <w:rPr>
          <w:rFonts w:ascii="Times New Roman" w:hAnsi="Times New Roman" w:cs="Times New Roman"/>
          <w:sz w:val="26"/>
          <w:szCs w:val="26"/>
        </w:rPr>
        <w:t>и</w:t>
      </w:r>
      <w:r w:rsidRPr="00C91637">
        <w:rPr>
          <w:rFonts w:ascii="Times New Roman" w:hAnsi="Times New Roman" w:cs="Times New Roman"/>
          <w:sz w:val="26"/>
          <w:szCs w:val="26"/>
        </w:rPr>
        <w:t xml:space="preserve">» по вопросам соблюдения требований законодательства </w:t>
      </w:r>
      <w:r w:rsidR="00213C6C">
        <w:rPr>
          <w:rFonts w:ascii="Times New Roman" w:hAnsi="Times New Roman" w:cs="Times New Roman"/>
          <w:sz w:val="26"/>
          <w:szCs w:val="26"/>
        </w:rPr>
        <w:t>при</w:t>
      </w:r>
      <w:r w:rsidRPr="00C91637">
        <w:rPr>
          <w:rFonts w:ascii="Times New Roman" w:hAnsi="Times New Roman" w:cs="Times New Roman"/>
          <w:sz w:val="26"/>
          <w:szCs w:val="26"/>
        </w:rPr>
        <w:t xml:space="preserve"> розничной продаже алкогольной продукции, табачных изделий;</w:t>
      </w:r>
    </w:p>
    <w:p w:rsidR="00212A66" w:rsidRPr="00C91637" w:rsidRDefault="00213C6C" w:rsidP="0021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B10" w:rsidRPr="00C91637">
        <w:rPr>
          <w:rFonts w:ascii="Times New Roman" w:hAnsi="Times New Roman" w:cs="Times New Roman"/>
          <w:sz w:val="26"/>
          <w:szCs w:val="26"/>
        </w:rPr>
        <w:t>в средствах массовой информации и на официальном сайте администрации размещалась информация по вопросам защиты прав потребителей</w:t>
      </w:r>
      <w:r w:rsidR="00456B0D">
        <w:rPr>
          <w:rFonts w:ascii="Times New Roman" w:hAnsi="Times New Roman" w:cs="Times New Roman"/>
          <w:sz w:val="26"/>
          <w:szCs w:val="26"/>
        </w:rPr>
        <w:t>, о мерах предосторожности использования и покупки пиротехнических изделий</w:t>
      </w:r>
      <w:r>
        <w:rPr>
          <w:rFonts w:ascii="Times New Roman" w:hAnsi="Times New Roman" w:cs="Times New Roman"/>
          <w:sz w:val="26"/>
          <w:szCs w:val="26"/>
        </w:rPr>
        <w:t>, информация о некачественных и фальсифицированных товарах.</w:t>
      </w:r>
      <w:r w:rsidR="00212A66" w:rsidRPr="00212A6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2A66" w:rsidRPr="00C91637">
        <w:rPr>
          <w:rFonts w:ascii="Times New Roman" w:hAnsi="Times New Roman" w:cs="Times New Roman"/>
          <w:sz w:val="26"/>
          <w:szCs w:val="26"/>
          <w:lang w:eastAsia="ru-RU"/>
        </w:rPr>
        <w:t>В результате проведенных</w:t>
      </w:r>
      <w:r w:rsidR="00212A66" w:rsidRPr="00212A6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2A66" w:rsidRPr="00C91637">
        <w:rPr>
          <w:rFonts w:ascii="Times New Roman" w:hAnsi="Times New Roman" w:cs="Times New Roman"/>
          <w:sz w:val="26"/>
          <w:szCs w:val="26"/>
          <w:lang w:eastAsia="ru-RU"/>
        </w:rPr>
        <w:t>мероприятий</w:t>
      </w:r>
      <w:r w:rsidR="00212A6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2A66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на потребительский рынок </w:t>
      </w:r>
      <w:r w:rsidR="00212A66">
        <w:rPr>
          <w:rFonts w:ascii="Times New Roman" w:hAnsi="Times New Roman" w:cs="Times New Roman"/>
          <w:sz w:val="26"/>
          <w:szCs w:val="26"/>
          <w:lang w:eastAsia="ru-RU"/>
        </w:rPr>
        <w:t xml:space="preserve">города не допущены </w:t>
      </w:r>
      <w:r w:rsidR="00212A66" w:rsidRPr="00C91637">
        <w:rPr>
          <w:rFonts w:ascii="Times New Roman" w:hAnsi="Times New Roman" w:cs="Times New Roman"/>
          <w:sz w:val="26"/>
          <w:szCs w:val="26"/>
          <w:lang w:eastAsia="ru-RU"/>
        </w:rPr>
        <w:t>некачественны</w:t>
      </w:r>
      <w:r w:rsidR="00212A6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212A66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пищевы</w:t>
      </w:r>
      <w:r w:rsidR="00212A6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212A66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продукт</w:t>
      </w:r>
      <w:r w:rsidR="00212A66">
        <w:rPr>
          <w:rFonts w:ascii="Times New Roman" w:hAnsi="Times New Roman" w:cs="Times New Roman"/>
          <w:sz w:val="26"/>
          <w:szCs w:val="26"/>
          <w:lang w:eastAsia="ru-RU"/>
        </w:rPr>
        <w:t>ы и</w:t>
      </w:r>
      <w:r w:rsidR="00212A66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товар</w:t>
      </w:r>
      <w:r w:rsidR="00212A66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DB048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A34C1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637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6A34C1">
        <w:rPr>
          <w:rFonts w:ascii="Times New Roman" w:eastAsia="Times New Roman" w:hAnsi="Times New Roman" w:cs="Times New Roman"/>
          <w:sz w:val="26"/>
          <w:szCs w:val="26"/>
        </w:rPr>
        <w:t>совместно с комитетом по архитектуре и градостроительству проводились мониторинги:</w:t>
      </w:r>
    </w:p>
    <w:p w:rsidR="00477B10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предприятий потребительского рынка по исполнению Федерального закона № 419-ФЗ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</w:t>
      </w:r>
      <w:r w:rsidRPr="000637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доступности объектов для инвалидов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было </w:t>
      </w:r>
      <w:r w:rsidRPr="00063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охвачено </w:t>
      </w:r>
      <w:r w:rsidR="006A34C1" w:rsidRPr="006A34C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A3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потребительского рынка, по результатам которого </w:t>
      </w:r>
      <w:r w:rsidRPr="000637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которым выдавались предписания хозяйствующим субъектам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</w:t>
      </w:r>
      <w:r w:rsidRPr="00063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063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соответствующи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63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ГОСТ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12A66" w:rsidRPr="00063781" w:rsidRDefault="00212A66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потребительского рынка по </w:t>
      </w:r>
      <w:r w:rsidR="006A34C1" w:rsidRPr="006A3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 </w:t>
      </w:r>
      <w:r w:rsidRPr="006A3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размещенной рекламе на фасадах, </w:t>
      </w:r>
      <w:r w:rsidR="006A34C1" w:rsidRPr="006A34C1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охвачено 16 объектов</w:t>
      </w:r>
      <w:r w:rsidR="00DB048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34C1" w:rsidRPr="006A3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34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</w:t>
      </w:r>
      <w:r w:rsidR="00DB0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</w:t>
      </w:r>
      <w:r w:rsidR="00DB048A" w:rsidRPr="00DB0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48A" w:rsidRPr="0006378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выдавались предписания хозяйствующим субъектам</w:t>
      </w:r>
      <w:r w:rsidR="00DB048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производился демонтаж рекламы.</w:t>
      </w:r>
    </w:p>
    <w:p w:rsidR="00477B10" w:rsidRDefault="00477B10" w:rsidP="004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37">
        <w:rPr>
          <w:rFonts w:ascii="Times New Roman" w:hAnsi="Times New Roman" w:cs="Times New Roman"/>
          <w:sz w:val="26"/>
          <w:szCs w:val="26"/>
        </w:rPr>
        <w:t>-</w:t>
      </w:r>
      <w:r w:rsidR="00213C6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проводились </w:t>
      </w:r>
      <w:r w:rsidRPr="00C91637">
        <w:rPr>
          <w:rFonts w:ascii="Times New Roman" w:hAnsi="Times New Roman" w:cs="Times New Roman"/>
          <w:sz w:val="26"/>
          <w:szCs w:val="26"/>
        </w:rPr>
        <w:t xml:space="preserve">городские </w:t>
      </w:r>
      <w:r w:rsidRPr="00213C6C">
        <w:rPr>
          <w:rFonts w:ascii="Times New Roman" w:hAnsi="Times New Roman" w:cs="Times New Roman"/>
          <w:sz w:val="26"/>
          <w:szCs w:val="26"/>
        </w:rPr>
        <w:t>конкурсы «</w:t>
      </w:r>
      <w:r w:rsidR="00213C6C" w:rsidRPr="00213C6C">
        <w:rPr>
          <w:rFonts w:ascii="Times New Roman" w:hAnsi="Times New Roman" w:cs="Times New Roman"/>
          <w:sz w:val="26"/>
          <w:szCs w:val="26"/>
        </w:rPr>
        <w:t>Лучшее оформление фасадов и благоустройство прилегающих территорий</w:t>
      </w:r>
      <w:r w:rsidR="00213C6C">
        <w:rPr>
          <w:rFonts w:ascii="Times New Roman" w:hAnsi="Times New Roman" w:cs="Times New Roman"/>
          <w:sz w:val="26"/>
          <w:szCs w:val="26"/>
        </w:rPr>
        <w:t>»,</w:t>
      </w:r>
      <w:r w:rsidR="00213C6C" w:rsidRPr="00213C6C">
        <w:rPr>
          <w:rFonts w:ascii="Times New Roman" w:hAnsi="Times New Roman" w:cs="Times New Roman"/>
          <w:sz w:val="26"/>
          <w:szCs w:val="26"/>
        </w:rPr>
        <w:t xml:space="preserve"> </w:t>
      </w:r>
      <w:r w:rsidRPr="00C91637">
        <w:rPr>
          <w:rFonts w:ascii="Times New Roman" w:hAnsi="Times New Roman" w:cs="Times New Roman"/>
          <w:sz w:val="26"/>
          <w:szCs w:val="26"/>
        </w:rPr>
        <w:t>«Л</w:t>
      </w:r>
      <w:r w:rsidRPr="003F237E">
        <w:rPr>
          <w:rFonts w:ascii="Times New Roman" w:hAnsi="Times New Roman" w:cs="Times New Roman"/>
          <w:sz w:val="26"/>
          <w:szCs w:val="26"/>
        </w:rPr>
        <w:t>учшее новогоднее оформление предприятий потребительского рынка</w:t>
      </w:r>
      <w:r w:rsidR="00213C6C">
        <w:rPr>
          <w:rFonts w:ascii="Times New Roman" w:hAnsi="Times New Roman" w:cs="Times New Roman"/>
          <w:sz w:val="26"/>
          <w:szCs w:val="26"/>
        </w:rPr>
        <w:t>».</w:t>
      </w:r>
    </w:p>
    <w:p w:rsidR="00DC265B" w:rsidRDefault="00DC265B" w:rsidP="00477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77B10" w:rsidRPr="00C91637" w:rsidRDefault="00477B10" w:rsidP="00477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Общественное питание</w:t>
      </w:r>
    </w:p>
    <w:p w:rsidR="00477B10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 общественного питания по предварительной оценке в январе - декабре 201</w:t>
      </w:r>
      <w:r w:rsidR="00DC265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 2</w:t>
      </w:r>
      <w:r w:rsidR="00B0633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B565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B565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B565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B565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73F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к соответствующему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периоду прошлого года в сопоставимых ценах. В расчете на душу населения оборот общественного питания составил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B565D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B565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 (в январе-декабре 201</w:t>
      </w:r>
      <w:r w:rsidR="00B0633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0633B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0633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месяц)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ился в реальном выражении на </w:t>
      </w:r>
      <w:r w:rsidR="00C81DA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73F79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8240C8" w:rsidRDefault="008240C8" w:rsidP="00C8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0C8" w:rsidRPr="00BE6193" w:rsidRDefault="008240C8" w:rsidP="00C8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10" w:rsidRPr="00BE6193" w:rsidRDefault="00477B10" w:rsidP="00C8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E7E6A" wp14:editId="1CB45CA9">
                <wp:simplePos x="0" y="0"/>
                <wp:positionH relativeFrom="column">
                  <wp:posOffset>912062</wp:posOffset>
                </wp:positionH>
                <wp:positionV relativeFrom="paragraph">
                  <wp:posOffset>-219391</wp:posOffset>
                </wp:positionV>
                <wp:extent cx="4477978" cy="461842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978" cy="4618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7B10" w:rsidRPr="00C91637" w:rsidRDefault="00477B10" w:rsidP="00477B10">
                            <w:pPr>
                              <w:pStyle w:val="a5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Оборот общественного питания в 201</w:t>
                            </w:r>
                            <w:r w:rsidR="0009677E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-201</w:t>
                            </w:r>
                            <w:r w:rsidR="0009677E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г.</w:t>
                            </w:r>
                            <w:proofErr w:type="gramStart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г</w:t>
                            </w:r>
                            <w:proofErr w:type="spellEnd"/>
                            <w:proofErr w:type="gramEnd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77B10" w:rsidRDefault="00477B10" w:rsidP="00477B10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(млн. руб.)</w:t>
                            </w:r>
                          </w:p>
                          <w:p w:rsidR="00477B10" w:rsidRDefault="00477B10" w:rsidP="00477B10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77B10" w:rsidRDefault="00477B10" w:rsidP="00477B10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77B10" w:rsidRPr="00C91637" w:rsidRDefault="00477B10" w:rsidP="00477B10">
                            <w:pPr>
                              <w:pStyle w:val="a5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71.8pt;margin-top:-17.25pt;width:352.6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" filled="f" stroked="f">
                <v:textbox>
                  <w:txbxContent>
                    <w:p w:rsidR="00477B10" w:rsidRPr="00C91637" w:rsidRDefault="00477B10" w:rsidP="00477B10">
                      <w:pPr>
                        <w:pStyle w:val="a5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Оборот общественного питания в 201</w:t>
                      </w:r>
                      <w:r w:rsidR="0009677E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-201</w:t>
                      </w:r>
                      <w:r w:rsidR="0009677E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г.</w:t>
                      </w:r>
                      <w:proofErr w:type="gramStart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</w:t>
                      </w:r>
                      <w:proofErr w:type="spellEnd"/>
                      <w:proofErr w:type="gramEnd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477B10" w:rsidRDefault="00477B10" w:rsidP="00477B10">
                      <w:pPr>
                        <w:pStyle w:val="a5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(млн. руб.)</w:t>
                      </w:r>
                    </w:p>
                    <w:p w:rsidR="00477B10" w:rsidRDefault="00477B10" w:rsidP="00477B10">
                      <w:pPr>
                        <w:pStyle w:val="a5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77B10" w:rsidRDefault="00477B10" w:rsidP="00477B10">
                      <w:pPr>
                        <w:pStyle w:val="a5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77B10" w:rsidRPr="00C91637" w:rsidRDefault="00477B10" w:rsidP="00477B10">
                      <w:pPr>
                        <w:pStyle w:val="a5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B10" w:rsidRDefault="00904C3D" w:rsidP="00C8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26B251" wp14:editId="2E93BC79">
            <wp:extent cx="3668171" cy="2034936"/>
            <wp:effectExtent l="0" t="0" r="889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осуществля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т деятельность 5</w:t>
      </w:r>
      <w:r w:rsidR="00694EE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</w:t>
      </w:r>
      <w:r w:rsidR="00945DF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питания: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94EE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ресторан</w:t>
      </w:r>
      <w:r w:rsidR="00694EE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694EE9">
        <w:rPr>
          <w:rFonts w:ascii="Times New Roman" w:eastAsia="Times New Roman" w:hAnsi="Times New Roman" w:cs="Times New Roman"/>
          <w:sz w:val="26"/>
          <w:szCs w:val="26"/>
          <w:lang w:eastAsia="ru-RU"/>
        </w:rPr>
        <w:t>149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</w:t>
      </w:r>
      <w:r w:rsidR="00945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мест;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- 1</w:t>
      </w:r>
      <w:r w:rsidR="00694EE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 на </w:t>
      </w:r>
      <w:r w:rsidR="00694EE9">
        <w:rPr>
          <w:rFonts w:ascii="Times New Roman" w:eastAsia="Times New Roman" w:hAnsi="Times New Roman" w:cs="Times New Roman"/>
          <w:sz w:val="26"/>
          <w:szCs w:val="26"/>
          <w:lang w:eastAsia="ru-RU"/>
        </w:rPr>
        <w:t>529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</w:t>
      </w:r>
      <w:r w:rsidR="00945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мест;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94EE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бар</w:t>
      </w:r>
      <w:r w:rsidR="00694EE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694EE9">
        <w:rPr>
          <w:rFonts w:ascii="Times New Roman" w:eastAsia="Times New Roman" w:hAnsi="Times New Roman" w:cs="Times New Roman"/>
          <w:sz w:val="26"/>
          <w:szCs w:val="26"/>
          <w:lang w:eastAsia="ru-RU"/>
        </w:rPr>
        <w:t>162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места;</w:t>
      </w:r>
    </w:p>
    <w:p w:rsidR="00477B10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- 9 закусочных на 2</w:t>
      </w:r>
      <w:r w:rsidR="00694EE9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мест;</w:t>
      </w:r>
    </w:p>
    <w:p w:rsidR="00945DFE" w:rsidRPr="00C91637" w:rsidRDefault="00945DFE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 предприятия быстрого питания на 4 п. места;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- 16 столовых на 2602 п. места;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45DF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кафетерия</w:t>
      </w:r>
      <w:r w:rsidR="00945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28 п. мест;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45DF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буфет</w:t>
      </w:r>
      <w:r w:rsidR="00945DFE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32 п. места;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45DF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кулинарии,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- 2 заготовочных цеха (изготовление и доставка роллов).</w:t>
      </w:r>
    </w:p>
    <w:p w:rsidR="00D66E35" w:rsidRDefault="00D650B5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Общедоступная с</w:t>
      </w:r>
      <w:r w:rsidR="00477B10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еть предприятий общественного питания в этом году </w:t>
      </w:r>
      <w:r w:rsidR="00945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увеличилась на </w:t>
      </w:r>
      <w:r w:rsidR="009468E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45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F1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F121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Открыл</w:t>
      </w:r>
      <w:r w:rsidR="008953A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12148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1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0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F1214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</w:t>
      </w:r>
      <w:r w:rsidR="00FC02D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214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 «</w:t>
      </w:r>
      <w:proofErr w:type="spellStart"/>
      <w:r w:rsidR="00F121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Coffe</w:t>
      </w:r>
      <w:proofErr w:type="spellEnd"/>
      <w:r w:rsidR="00F12148" w:rsidRPr="00FC0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21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Like</w:t>
      </w:r>
      <w:r w:rsidR="00F1214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18 п. мест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(бассейн «Дельфин») </w:t>
      </w:r>
      <w:r w:rsidR="00FC02DF">
        <w:rPr>
          <w:rFonts w:ascii="Times New Roman" w:eastAsia="Times New Roman" w:hAnsi="Times New Roman" w:cs="Times New Roman"/>
          <w:sz w:val="26"/>
          <w:szCs w:val="26"/>
          <w:lang w:eastAsia="ru-RU"/>
        </w:rPr>
        <w:t>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FC02D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жики-</w:t>
      </w:r>
      <w:proofErr w:type="spellStart"/>
      <w:r w:rsidR="00FC02D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морожики</w:t>
      </w:r>
      <w:proofErr w:type="spellEnd"/>
      <w:r w:rsidR="00FC02D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28 п. мест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(городской стадион)</w:t>
      </w:r>
      <w:r w:rsidR="00F1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C02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закусочная «Восточная кухня»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 п. мест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(ТК</w:t>
      </w:r>
      <w:r w:rsidR="00FC0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«Саянский»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C0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878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предприятие быстрого питания «Суши-</w:t>
      </w:r>
      <w:proofErr w:type="spellStart"/>
      <w:r w:rsidR="0078783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маркет</w:t>
      </w:r>
      <w:proofErr w:type="spellEnd"/>
      <w:r w:rsidR="00787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кофейня </w:t>
      </w:r>
      <w:r w:rsidR="00D61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8 п. мест </w:t>
      </w:r>
      <w:r w:rsidR="0078783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отдел кулинарии</w:t>
      </w:r>
      <w:r w:rsidRPr="00D65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(ТРЦ «Олимпийский»)</w:t>
      </w:r>
      <w:r w:rsidR="00787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буфет </w:t>
      </w:r>
      <w:r w:rsidR="00D613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4 п. мест</w:t>
      </w:r>
      <w:r w:rsid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61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(междугородние </w:t>
      </w:r>
      <w:r w:rsidR="0078783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</w:t>
      </w:r>
      <w:r w:rsidR="008953A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87839">
        <w:rPr>
          <w:rFonts w:ascii="Times New Roman" w:eastAsia="Times New Roman" w:hAnsi="Times New Roman" w:cs="Times New Roman"/>
          <w:sz w:val="26"/>
          <w:szCs w:val="26"/>
          <w:lang w:eastAsia="ru-RU"/>
        </w:rPr>
        <w:t>бусны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87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ы).</w:t>
      </w:r>
      <w:proofErr w:type="gramEnd"/>
      <w:r w:rsidR="00B93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C02DF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закрыл</w:t>
      </w:r>
      <w:r w:rsidR="008953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9468EB">
        <w:rPr>
          <w:rFonts w:ascii="Times New Roman" w:eastAsia="Times New Roman" w:hAnsi="Times New Roman" w:cs="Times New Roman"/>
          <w:sz w:val="26"/>
          <w:szCs w:val="26"/>
          <w:lang w:eastAsia="ru-RU"/>
        </w:rPr>
        <w:t>ь:</w:t>
      </w:r>
      <w:r w:rsidR="00FC0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8E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953A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акусочн</w:t>
      </w:r>
      <w:r w:rsidR="009468EB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895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«Пиццерия» </w:t>
      </w:r>
      <w:r w:rsidR="00092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56 п. мест </w:t>
      </w:r>
      <w:r w:rsidR="009D7A2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C02DF">
        <w:rPr>
          <w:rFonts w:ascii="Times New Roman" w:eastAsia="Times New Roman" w:hAnsi="Times New Roman" w:cs="Times New Roman"/>
          <w:sz w:val="26"/>
          <w:szCs w:val="26"/>
          <w:lang w:eastAsia="ru-RU"/>
        </w:rPr>
        <w:t>ТРЦ «Скиф»</w:t>
      </w:r>
      <w:r w:rsidR="009D7A2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C0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787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кафе «Лира» </w:t>
      </w:r>
      <w:r w:rsidR="00092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6130D">
        <w:rPr>
          <w:rFonts w:ascii="Times New Roman" w:eastAsia="Times New Roman" w:hAnsi="Times New Roman" w:cs="Times New Roman"/>
          <w:sz w:val="26"/>
          <w:szCs w:val="26"/>
          <w:lang w:eastAsia="ru-RU"/>
        </w:rPr>
        <w:t>28 п. мест (</w:t>
      </w:r>
      <w:r w:rsidR="0078783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</w:t>
      </w:r>
      <w:r w:rsidR="00D6130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87839">
        <w:rPr>
          <w:rFonts w:ascii="Times New Roman" w:eastAsia="Times New Roman" w:hAnsi="Times New Roman" w:cs="Times New Roman"/>
          <w:sz w:val="26"/>
          <w:szCs w:val="26"/>
          <w:lang w:eastAsia="ru-RU"/>
        </w:rPr>
        <w:t>«Бодрость»</w:t>
      </w:r>
      <w:r w:rsidR="00D6130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878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посадочными местами в общедоступной сети составляет 2</w:t>
      </w:r>
      <w:r w:rsidR="000751B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751B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</w:t>
      </w:r>
      <w:r w:rsidR="000751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07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1000 населения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социальном нормативе обеспеченности 40</w:t>
      </w:r>
      <w:r w:rsidR="000751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0751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 или </w:t>
      </w:r>
      <w:r w:rsidR="000751B6">
        <w:rPr>
          <w:rFonts w:ascii="Times New Roman" w:eastAsia="Times New Roman" w:hAnsi="Times New Roman" w:cs="Times New Roman"/>
          <w:sz w:val="26"/>
          <w:szCs w:val="26"/>
          <w:lang w:eastAsia="ru-RU"/>
        </w:rPr>
        <w:t>64,5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% от норматива и в сравнении с предыдущим годом </w:t>
      </w:r>
      <w:r w:rsidR="000751B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увеличилась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6</w:t>
      </w:r>
      <w:r w:rsidR="000751B6">
        <w:rPr>
          <w:rFonts w:ascii="Times New Roman" w:eastAsia="Times New Roman" w:hAnsi="Times New Roman" w:cs="Times New Roman"/>
          <w:sz w:val="26"/>
          <w:szCs w:val="26"/>
          <w:lang w:eastAsia="ru-RU"/>
        </w:rPr>
        <w:t>,0 %,</w:t>
      </w:r>
      <w:r w:rsidR="000751B6" w:rsidRPr="00075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1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 достигла уровня 2015 года.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Важным экономическим и социальным аспектом является питание рабочих и служащих, учащихся образовательных учреждений города. В целом закрытая сеть представлена 2</w:t>
      </w:r>
      <w:r w:rsidR="00185F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предприятиями или 4</w:t>
      </w:r>
      <w:r w:rsidR="00185F4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85F4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 % от общего количества предприятий общественного питания, в том числе: при учебных заведениях - 9, при промпредприятиях и учреждениях - 1</w:t>
      </w:r>
      <w:r w:rsidR="0095517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B939D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проводился </w:t>
      </w:r>
      <w:r w:rsidRPr="00C91637">
        <w:rPr>
          <w:rFonts w:ascii="Times New Roman" w:hAnsi="Times New Roman" w:cs="Times New Roman"/>
          <w:sz w:val="26"/>
          <w:szCs w:val="26"/>
        </w:rPr>
        <w:t xml:space="preserve">мониторинг по соблюдению условий контрактов (договоров) поставки продуктов питания в </w:t>
      </w:r>
      <w:r w:rsidR="00B939DB">
        <w:rPr>
          <w:rFonts w:ascii="Times New Roman" w:hAnsi="Times New Roman" w:cs="Times New Roman"/>
          <w:sz w:val="26"/>
          <w:szCs w:val="26"/>
        </w:rPr>
        <w:t xml:space="preserve">3-х </w:t>
      </w:r>
      <w:r w:rsidRPr="00C91637">
        <w:rPr>
          <w:rFonts w:ascii="Times New Roman" w:hAnsi="Times New Roman" w:cs="Times New Roman"/>
          <w:sz w:val="26"/>
          <w:szCs w:val="26"/>
        </w:rPr>
        <w:t xml:space="preserve">муниципальных дошкольных </w:t>
      </w:r>
      <w:r w:rsidRPr="00C91637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образовательных учреждениях городского округа муниципального образования «город Саянск» для улучшения питания детей и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поставляемых продуктов питания.</w:t>
      </w:r>
    </w:p>
    <w:p w:rsidR="00477B10" w:rsidRPr="00C91637" w:rsidRDefault="00477B10" w:rsidP="00477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B10" w:rsidRPr="00C91637" w:rsidRDefault="00477B10" w:rsidP="00477B10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Бытовые услуги</w:t>
      </w:r>
    </w:p>
    <w:p w:rsidR="00477B10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бытовых услуг в январе - декабре 201</w:t>
      </w:r>
      <w:r w:rsidR="005C0E2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пр</w:t>
      </w:r>
      <w:r w:rsidR="00FA64D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едварительной оценке составил 88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A64D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 (в январе - декабре 201</w:t>
      </w:r>
      <w:r w:rsidR="00FA64D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– </w:t>
      </w:r>
      <w:r w:rsidR="00FA64DF">
        <w:rPr>
          <w:rFonts w:ascii="Times New Roman" w:eastAsia="Times New Roman" w:hAnsi="Times New Roman" w:cs="Times New Roman"/>
          <w:sz w:val="26"/>
          <w:szCs w:val="26"/>
          <w:lang w:eastAsia="ru-RU"/>
        </w:rPr>
        <w:t>87,9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</w:t>
      </w:r>
      <w:r w:rsid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</w:t>
      </w:r>
      <w:r w:rsidR="00A70982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ился в </w:t>
      </w:r>
      <w:r w:rsid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общем объеме услуг </w:t>
      </w:r>
      <w:r w:rsidR="00A70982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70982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7%.</w:t>
      </w:r>
    </w:p>
    <w:p w:rsidR="00A70982" w:rsidRPr="00C91637" w:rsidRDefault="00A70982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B10" w:rsidRPr="00521A1D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1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C0D61" wp14:editId="411A273E">
                <wp:simplePos x="0" y="0"/>
                <wp:positionH relativeFrom="column">
                  <wp:posOffset>1152572</wp:posOffset>
                </wp:positionH>
                <wp:positionV relativeFrom="paragraph">
                  <wp:posOffset>34305</wp:posOffset>
                </wp:positionV>
                <wp:extent cx="3815080" cy="454395"/>
                <wp:effectExtent l="0" t="0" r="0" b="0"/>
                <wp:wrapNone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080" cy="454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7B10" w:rsidRPr="00C91637" w:rsidRDefault="00477B10" w:rsidP="00477B10">
                            <w:pPr>
                              <w:pStyle w:val="a5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Объем бытовых услуг в 201</w:t>
                            </w:r>
                            <w:r w:rsidR="00521A1D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-201</w:t>
                            </w:r>
                            <w:r w:rsidR="00521A1D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г.</w:t>
                            </w:r>
                            <w:proofErr w:type="gramStart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г</w:t>
                            </w:r>
                            <w:proofErr w:type="spellEnd"/>
                            <w:proofErr w:type="gramEnd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77B10" w:rsidRPr="00C91637" w:rsidRDefault="00477B10" w:rsidP="00477B10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(млн. руб.)</w:t>
                            </w:r>
                          </w:p>
                          <w:p w:rsidR="00477B10" w:rsidRDefault="00477B10" w:rsidP="00477B10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</w:rPr>
                            </w:pPr>
                          </w:p>
                          <w:p w:rsidR="00477B10" w:rsidRDefault="00477B10" w:rsidP="00477B10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</w:rPr>
                            </w:pPr>
                          </w:p>
                          <w:p w:rsidR="00477B10" w:rsidRDefault="00477B10" w:rsidP="00477B10">
                            <w:pPr>
                              <w:pStyle w:val="a5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27" type="#_x0000_t202" style="position:absolute;left:0;text-align:left;margin-left:90.75pt;margin-top:2.7pt;width:300.4pt;height:3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" filled="f" stroked="f">
                <v:textbox>
                  <w:txbxContent>
                    <w:p w:rsidR="00477B10" w:rsidRPr="00C91637" w:rsidRDefault="00477B10" w:rsidP="00477B10">
                      <w:pPr>
                        <w:pStyle w:val="a5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Объем бытовых услуг в 201</w:t>
                      </w:r>
                      <w:r w:rsidR="00521A1D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-201</w:t>
                      </w:r>
                      <w:r w:rsidR="00521A1D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г.</w:t>
                      </w:r>
                      <w:proofErr w:type="gramStart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</w:t>
                      </w:r>
                      <w:proofErr w:type="spellEnd"/>
                      <w:proofErr w:type="gramEnd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477B10" w:rsidRPr="00C91637" w:rsidRDefault="00477B10" w:rsidP="00477B10">
                      <w:pPr>
                        <w:pStyle w:val="a5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(млн. руб.)</w:t>
                      </w:r>
                    </w:p>
                    <w:p w:rsidR="00477B10" w:rsidRDefault="00477B10" w:rsidP="00477B10">
                      <w:pPr>
                        <w:pStyle w:val="a5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</w:rPr>
                      </w:pPr>
                    </w:p>
                    <w:p w:rsidR="00477B10" w:rsidRDefault="00477B10" w:rsidP="00477B10">
                      <w:pPr>
                        <w:pStyle w:val="a5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</w:rPr>
                      </w:pPr>
                    </w:p>
                    <w:p w:rsidR="00477B10" w:rsidRDefault="00477B10" w:rsidP="00477B10">
                      <w:pPr>
                        <w:pStyle w:val="a5"/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7B10" w:rsidRPr="00BE6193" w:rsidRDefault="00477B10" w:rsidP="00477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10" w:rsidRDefault="00310AE0" w:rsidP="00477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DA28C2" wp14:editId="60A7DAD3">
            <wp:extent cx="3784453" cy="2341498"/>
            <wp:effectExtent l="0" t="19050" r="6985" b="19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1A1D" w:rsidRPr="00521A1D" w:rsidRDefault="00521A1D" w:rsidP="00477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B10" w:rsidRPr="00C91637" w:rsidRDefault="00477B10" w:rsidP="00477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одного жителя в месяц оказывается бытовых услуг на сумму 18</w:t>
      </w:r>
      <w:r w:rsidR="00521A1D">
        <w:rPr>
          <w:rFonts w:ascii="Times New Roman" w:eastAsia="Times New Roman" w:hAnsi="Times New Roman" w:cs="Times New Roman"/>
          <w:sz w:val="26"/>
          <w:szCs w:val="26"/>
          <w:lang w:eastAsia="ru-RU"/>
        </w:rPr>
        <w:t>9,6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(в январе - декабре 201</w:t>
      </w:r>
      <w:r w:rsidR="00521A1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521A1D">
        <w:rPr>
          <w:rFonts w:ascii="Times New Roman" w:eastAsia="Times New Roman" w:hAnsi="Times New Roman" w:cs="Times New Roman"/>
          <w:sz w:val="26"/>
          <w:szCs w:val="26"/>
          <w:lang w:eastAsia="ru-RU"/>
        </w:rPr>
        <w:t>188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7B10" w:rsidRPr="00C91637" w:rsidRDefault="00477B10" w:rsidP="00477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Потребительский рынок бытовых услуг достаточно разнообразен. </w:t>
      </w:r>
      <w:proofErr w:type="gramStart"/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структуре предприятий бытовых услуг наибольший удельный вес приходится на парикмахерские услуги - 2</w:t>
      </w:r>
      <w:r w:rsidR="0043702B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3702B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% (43 объекта), услуги по ремонту и техническому обслуживанию, </w:t>
      </w:r>
      <w:r w:rsidR="0043702B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хранению и 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мойке автотранспортных средств - 1</w:t>
      </w:r>
      <w:r w:rsidR="0043702B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3702B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 % (2</w:t>
      </w:r>
      <w:r w:rsidR="0043702B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объекта), услуги по ремонту и пошиву швейных, меховых, трикотажных изделий, головных уборов - 9,</w:t>
      </w:r>
      <w:r w:rsidR="002C2664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 % (1</w:t>
      </w:r>
      <w:r w:rsidR="002C2664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ателье и мастерских), </w:t>
      </w:r>
      <w:r w:rsidR="002C2664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по ремонту бытовых машин и приборов, радиоэлектронной аппаратуры, ЭВМ, металлоизделий - 9,2 % (14 мастерских), услуги</w:t>
      </w:r>
      <w:proofErr w:type="gramEnd"/>
      <w:r w:rsidR="002C2664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C2664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ремонту и пошиву обуви - 9,2% (14 мастерских), 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ремонту жилья – </w:t>
      </w:r>
      <w:r w:rsidR="002C2664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C2664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 % (1</w:t>
      </w:r>
      <w:r w:rsidR="002C2664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приема), </w:t>
      </w:r>
      <w:r w:rsidR="00881B60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ломбардов - 4,6 % (7 объектов), услуги фото - 4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1B60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 % (</w:t>
      </w:r>
      <w:r w:rsidR="00881B60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объектов), </w:t>
      </w:r>
      <w:r w:rsidR="00E56BA8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ритуальные услуги - 3,3 % (5 объектов), 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</w:t>
      </w:r>
      <w:r w:rsidR="0022350C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предприятий по 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прокат</w:t>
      </w:r>
      <w:r w:rsidR="0022350C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C570E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копировальным работам</w:t>
      </w:r>
      <w:r w:rsidR="0022350C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- 2,6 % (</w:t>
      </w:r>
      <w:r w:rsidR="00CC570E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2350C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4 объекта)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2350C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изготовлению и ремонту мебели </w:t>
      </w:r>
      <w:r w:rsidR="00E56BA8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2350C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BA8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2,0</w:t>
      </w:r>
      <w:r w:rsidR="0022350C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 % (</w:t>
      </w:r>
      <w:r w:rsidR="00E56BA8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2350C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объекта)</w:t>
      </w:r>
      <w:r w:rsidR="00CC570E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0,7 % составляет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570E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 </w:t>
      </w:r>
      <w:r w:rsidR="00CC570E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бань и душевых, услуги химчистки</w:t>
      </w:r>
      <w:proofErr w:type="gramEnd"/>
      <w:r w:rsidR="00CC570E" w:rsidRPr="00A7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1 объекту).</w:t>
      </w:r>
    </w:p>
    <w:p w:rsidR="00477B10" w:rsidRPr="00C91637" w:rsidRDefault="00477B10" w:rsidP="00477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итогам 201</w:t>
      </w:r>
      <w:r w:rsidR="00C30C2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7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 показатель </w:t>
      </w:r>
      <w:r w:rsidR="00D8242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социальной 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обеспеченности населения основными видами бытовых услуг на</w:t>
      </w:r>
      <w:r w:rsidR="00C30C2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1000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C30C2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населения 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составил 1</w:t>
      </w:r>
      <w:r w:rsidR="00D8242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</w:t>
      </w:r>
      <w:r w:rsidR="00D8242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рабоч</w:t>
      </w:r>
      <w:r w:rsidR="00D8242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их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мест при нормативе расчета предприятий 9 рабочих мест на 1</w:t>
      </w:r>
      <w:r w:rsidR="00D8242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000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D8242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населения 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предыдущим годом сократился на 0,</w:t>
      </w:r>
      <w:r w:rsidR="00D8242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 %.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бытовых услуг развиваются наиболее востребованные виды услуг,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 квалифицированных специалистов: услуги парикмахерских, ремонт и техобслуживание транспортных средств, машин и оборудования, услуги по ремонту и пошиву швейных изделий, ремонт и строительство жилья.</w:t>
      </w:r>
    </w:p>
    <w:p w:rsidR="00477B10" w:rsidRPr="00C91637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Достаточно развиты социально значимые бытовые услуги: по ремонту обуви, одежды, сложно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бытовой техники, фото услуги, парикмахерские. Предприятия бытов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</w:t>
      </w:r>
      <w:r w:rsidRPr="00C91637">
        <w:rPr>
          <w:rFonts w:ascii="Times New Roman" w:hAnsi="Times New Roman" w:cs="Times New Roman"/>
          <w:bCs/>
          <w:sz w:val="26"/>
          <w:szCs w:val="26"/>
        </w:rPr>
        <w:t xml:space="preserve">оказывают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социально-незащищенной категории населения</w:t>
      </w:r>
      <w:r w:rsidRPr="00C91637">
        <w:rPr>
          <w:rFonts w:ascii="Times New Roman" w:hAnsi="Times New Roman" w:cs="Times New Roman"/>
          <w:bCs/>
          <w:sz w:val="26"/>
          <w:szCs w:val="26"/>
        </w:rPr>
        <w:t xml:space="preserve"> льготные услуги по стрижке волос, ремонту обуви, фото услуги.</w:t>
      </w:r>
    </w:p>
    <w:p w:rsidR="003F255E" w:rsidRDefault="00477B10" w:rsidP="0047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условиях экономической нестабильности, снижения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денежных 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доходов населения спрос</w:t>
      </w:r>
      <w:r w:rsidR="00380F6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бытовые услуги сокращается, остаются востребованными </w:t>
      </w:r>
      <w:r w:rsidR="003F255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социально необходимые 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услуги</w:t>
      </w:r>
      <w:r w:rsidR="003F255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которые потребитель не может выполнить сам</w:t>
      </w:r>
      <w:r w:rsidR="002C312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остоятельно</w:t>
      </w:r>
      <w:r w:rsidR="003F255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3F255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</w:t>
      </w:r>
      <w:r w:rsidR="00380F6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ак в сравнении с 2016 годом численность </w:t>
      </w:r>
      <w:r w:rsidR="003F255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работающих в сфере бытовых услуг </w:t>
      </w:r>
      <w:r w:rsidR="00380F6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сократилась на 34 единицы.</w:t>
      </w:r>
    </w:p>
    <w:p w:rsidR="0081298B" w:rsidRDefault="00477B10" w:rsidP="00527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201</w:t>
      </w:r>
      <w:r w:rsidR="003F255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7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году прекратил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деятельность 1</w:t>
      </w:r>
      <w:r w:rsidR="003F255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предприятий бытовых услуг</w:t>
      </w:r>
      <w:r w:rsidRPr="00C91637">
        <w:rPr>
          <w:rFonts w:ascii="Times New Roman" w:hAnsi="Times New Roman" w:cs="Times New Roman"/>
          <w:sz w:val="26"/>
          <w:szCs w:val="26"/>
        </w:rPr>
        <w:t xml:space="preserve">: </w:t>
      </w:r>
      <w:r w:rsidR="003F255E">
        <w:rPr>
          <w:rFonts w:ascii="Times New Roman" w:hAnsi="Times New Roman" w:cs="Times New Roman"/>
          <w:sz w:val="26"/>
          <w:szCs w:val="26"/>
        </w:rPr>
        <w:t xml:space="preserve">2 </w:t>
      </w:r>
      <w:r w:rsidR="00773E03">
        <w:rPr>
          <w:rFonts w:ascii="Times New Roman" w:hAnsi="Times New Roman" w:cs="Times New Roman"/>
          <w:sz w:val="26"/>
          <w:szCs w:val="26"/>
        </w:rPr>
        <w:t xml:space="preserve">мастерских </w:t>
      </w:r>
      <w:r w:rsidR="003F255E">
        <w:rPr>
          <w:rFonts w:ascii="Times New Roman" w:hAnsi="Times New Roman" w:cs="Times New Roman"/>
          <w:sz w:val="26"/>
          <w:szCs w:val="26"/>
        </w:rPr>
        <w:t>по ремонту и пошиву одежды</w:t>
      </w:r>
      <w:r w:rsidR="00773E03">
        <w:rPr>
          <w:rFonts w:ascii="Times New Roman" w:hAnsi="Times New Roman" w:cs="Times New Roman"/>
          <w:sz w:val="26"/>
          <w:szCs w:val="26"/>
        </w:rPr>
        <w:t xml:space="preserve"> (ТК № 71</w:t>
      </w:r>
      <w:r w:rsidR="003F255E">
        <w:rPr>
          <w:rFonts w:ascii="Times New Roman" w:hAnsi="Times New Roman" w:cs="Times New Roman"/>
          <w:sz w:val="26"/>
          <w:szCs w:val="26"/>
        </w:rPr>
        <w:t>,</w:t>
      </w:r>
      <w:r w:rsidR="00773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3E03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773E03">
        <w:rPr>
          <w:rFonts w:ascii="Times New Roman" w:hAnsi="Times New Roman" w:cs="Times New Roman"/>
          <w:sz w:val="26"/>
          <w:szCs w:val="26"/>
        </w:rPr>
        <w:t>К»</w:t>
      </w:r>
      <w:proofErr w:type="gramEnd"/>
      <w:r w:rsidR="00773E03">
        <w:rPr>
          <w:rFonts w:ascii="Times New Roman" w:hAnsi="Times New Roman" w:cs="Times New Roman"/>
          <w:sz w:val="26"/>
          <w:szCs w:val="26"/>
        </w:rPr>
        <w:t>Эй</w:t>
      </w:r>
      <w:proofErr w:type="spellEnd"/>
      <w:r w:rsidR="00773E03">
        <w:rPr>
          <w:rFonts w:ascii="Times New Roman" w:hAnsi="Times New Roman" w:cs="Times New Roman"/>
          <w:sz w:val="26"/>
          <w:szCs w:val="26"/>
        </w:rPr>
        <w:t>-Би»), 1</w:t>
      </w:r>
      <w:r w:rsidR="003F255E">
        <w:rPr>
          <w:rFonts w:ascii="Times New Roman" w:hAnsi="Times New Roman" w:cs="Times New Roman"/>
          <w:sz w:val="26"/>
          <w:szCs w:val="26"/>
        </w:rPr>
        <w:t xml:space="preserve"> </w:t>
      </w:r>
      <w:r w:rsidRPr="00C91637">
        <w:rPr>
          <w:rFonts w:ascii="Times New Roman" w:hAnsi="Times New Roman" w:cs="Times New Roman"/>
          <w:sz w:val="26"/>
          <w:szCs w:val="26"/>
        </w:rPr>
        <w:t>предприяти</w:t>
      </w:r>
      <w:r w:rsidR="00757B07">
        <w:rPr>
          <w:rFonts w:ascii="Times New Roman" w:hAnsi="Times New Roman" w:cs="Times New Roman"/>
          <w:sz w:val="26"/>
          <w:szCs w:val="26"/>
        </w:rPr>
        <w:t>е</w:t>
      </w:r>
      <w:r w:rsidRPr="00C91637">
        <w:rPr>
          <w:rFonts w:ascii="Times New Roman" w:hAnsi="Times New Roman" w:cs="Times New Roman"/>
          <w:sz w:val="26"/>
          <w:szCs w:val="26"/>
        </w:rPr>
        <w:t xml:space="preserve"> по ремонту и изготовлению мебели</w:t>
      </w:r>
      <w:r w:rsidR="00757B07">
        <w:rPr>
          <w:rFonts w:ascii="Times New Roman" w:hAnsi="Times New Roman" w:cs="Times New Roman"/>
          <w:sz w:val="26"/>
          <w:szCs w:val="26"/>
        </w:rPr>
        <w:t xml:space="preserve"> (Интерьер в ТК «Эй-Би»)</w:t>
      </w:r>
      <w:r w:rsidRPr="00C91637">
        <w:rPr>
          <w:rFonts w:ascii="Times New Roman" w:hAnsi="Times New Roman" w:cs="Times New Roman"/>
          <w:sz w:val="26"/>
          <w:szCs w:val="26"/>
        </w:rPr>
        <w:t xml:space="preserve">, </w:t>
      </w:r>
      <w:r w:rsidR="00757B07">
        <w:rPr>
          <w:rFonts w:ascii="Times New Roman" w:hAnsi="Times New Roman" w:cs="Times New Roman"/>
          <w:sz w:val="26"/>
          <w:szCs w:val="26"/>
        </w:rPr>
        <w:t>3</w:t>
      </w:r>
      <w:r w:rsidRPr="00C91637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757B07">
        <w:rPr>
          <w:rFonts w:ascii="Times New Roman" w:hAnsi="Times New Roman" w:cs="Times New Roman"/>
          <w:sz w:val="26"/>
          <w:szCs w:val="26"/>
        </w:rPr>
        <w:t>я</w:t>
      </w:r>
      <w:r w:rsidRPr="00C91637">
        <w:rPr>
          <w:rFonts w:ascii="Times New Roman" w:hAnsi="Times New Roman" w:cs="Times New Roman"/>
          <w:sz w:val="26"/>
          <w:szCs w:val="26"/>
        </w:rPr>
        <w:t xml:space="preserve"> по ремонту и строительству жилья (установка окон), </w:t>
      </w:r>
      <w:r w:rsidR="00757B07">
        <w:rPr>
          <w:rFonts w:ascii="Times New Roman" w:hAnsi="Times New Roman" w:cs="Times New Roman"/>
          <w:sz w:val="26"/>
          <w:szCs w:val="26"/>
        </w:rPr>
        <w:t>1</w:t>
      </w:r>
      <w:r w:rsidRPr="00C91637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757B07">
        <w:rPr>
          <w:rFonts w:ascii="Times New Roman" w:hAnsi="Times New Roman" w:cs="Times New Roman"/>
          <w:sz w:val="26"/>
          <w:szCs w:val="26"/>
        </w:rPr>
        <w:t>е</w:t>
      </w:r>
      <w:r w:rsidRPr="00C91637">
        <w:rPr>
          <w:rFonts w:ascii="Times New Roman" w:hAnsi="Times New Roman" w:cs="Times New Roman"/>
          <w:sz w:val="26"/>
          <w:szCs w:val="26"/>
        </w:rPr>
        <w:t xml:space="preserve"> по ремонту автомобилей, </w:t>
      </w:r>
      <w:r w:rsidR="00757B07">
        <w:rPr>
          <w:rFonts w:ascii="Times New Roman" w:hAnsi="Times New Roman" w:cs="Times New Roman"/>
          <w:sz w:val="26"/>
          <w:szCs w:val="26"/>
        </w:rPr>
        <w:t xml:space="preserve">1 предприятие по </w:t>
      </w:r>
      <w:r w:rsidRPr="00C91637">
        <w:rPr>
          <w:rFonts w:ascii="Times New Roman" w:hAnsi="Times New Roman" w:cs="Times New Roman"/>
          <w:sz w:val="26"/>
          <w:szCs w:val="26"/>
        </w:rPr>
        <w:t>ремонту сотовых телефонов</w:t>
      </w:r>
      <w:r w:rsidR="00757B07">
        <w:rPr>
          <w:rFonts w:ascii="Times New Roman" w:hAnsi="Times New Roman" w:cs="Times New Roman"/>
          <w:sz w:val="26"/>
          <w:szCs w:val="26"/>
        </w:rPr>
        <w:t>, 2 по оказанию услуг бань и услуг прачечных</w:t>
      </w:r>
      <w:r w:rsidRPr="00C916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1E22" w:rsidRPr="00D11E2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Саянска актуальна проблема отсутствия услуг химчистки одежды и головных уборов</w:t>
      </w:r>
      <w:r w:rsidR="00736F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11E22" w:rsidRPr="00D1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высокой рентабельностью бизнеса</w:t>
      </w:r>
      <w:r w:rsidR="00736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77C4" w:rsidRDefault="000E0AF0" w:rsidP="00527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других проблем развития потребительского рынка бытовых услуг следует отметить нездоровую конкуренцию.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 w:rsidR="008129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значительное количество мастеров, оказывающих в частном порядке</w:t>
      </w:r>
      <w:r w:rsidRPr="000E0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1E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квартир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1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 бытовых машин и приборов, ремонт бытовой радиоэлектронной аппаратуры, услуги парикмахерских, ремонт транспортных средств, обрядовые услуги (юбилеи, свадьбы, праздники), </w:t>
      </w:r>
      <w:r w:rsidR="009E7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регистрирую свою деятельность, </w:t>
      </w:r>
      <w:r w:rsidRPr="009E74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платят налог</w:t>
      </w:r>
      <w:r w:rsidR="009E74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E74A0">
        <w:rPr>
          <w:rFonts w:ascii="Times New Roman" w:eastAsia="Times New Roman" w:hAnsi="Times New Roman" w:cs="Times New Roman"/>
          <w:sz w:val="26"/>
          <w:szCs w:val="26"/>
          <w:lang w:eastAsia="ru-RU"/>
        </w:rPr>
        <w:t>, арендны</w:t>
      </w:r>
      <w:r w:rsidR="009E74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E7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коммунальны</w:t>
      </w:r>
      <w:r w:rsidR="009E74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E7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</w:t>
      </w:r>
      <w:r w:rsidR="009E74A0">
        <w:rPr>
          <w:rFonts w:ascii="Times New Roman" w:eastAsia="Times New Roman" w:hAnsi="Times New Roman" w:cs="Times New Roman"/>
          <w:sz w:val="26"/>
          <w:szCs w:val="26"/>
          <w:lang w:eastAsia="ru-RU"/>
        </w:rPr>
        <w:t>и,</w:t>
      </w:r>
      <w:r w:rsidRPr="009E7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результате получают</w:t>
      </w:r>
      <w:r w:rsidR="009E7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сверхприбыли в отличие от законопослушных индивидуальных предпринимателей.</w:t>
      </w:r>
      <w:proofErr w:type="gramEnd"/>
      <w:r w:rsidR="009E7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7C4" w:rsidRPr="005277C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явление снижает качество оказания услуг, не</w:t>
      </w:r>
      <w:r w:rsidR="0081298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5277C4" w:rsidRPr="005277C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потребителям никаких гарантий, а иногда создает непосредственную угрозу причинения вреда здоровью и</w:t>
      </w:r>
      <w:r w:rsidR="0081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7C4" w:rsidRPr="005277C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имуществу граждан.</w:t>
      </w:r>
      <w:r w:rsidR="0081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сложившейся ситуации для </w:t>
      </w:r>
      <w:r w:rsidR="0081298B" w:rsidRPr="0081298B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эффективного развития</w:t>
      </w:r>
      <w:r w:rsidR="0081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бытовых услуг</w:t>
      </w:r>
      <w:r w:rsidR="0081298B" w:rsidRPr="0081298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создани</w:t>
      </w:r>
      <w:r w:rsidR="0081298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1298B" w:rsidRPr="0081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благоприятного предпринимательского климата и привлечени</w:t>
      </w:r>
      <w:r w:rsidR="0081298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1298B" w:rsidRPr="0081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инвестиций</w:t>
      </w:r>
      <w:r w:rsidR="0081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с</w:t>
      </w:r>
      <w:r w:rsidR="0081298B" w:rsidRPr="0081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овершенствование государственно-правового регулирования</w:t>
      </w:r>
      <w:r w:rsidR="008129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0982" w:rsidRDefault="00A70982" w:rsidP="00A7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982" w:rsidRDefault="00A70982" w:rsidP="00A7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982" w:rsidRPr="00E3228D" w:rsidRDefault="00A70982" w:rsidP="00A70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E3228D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Заместитель начальника </w:t>
      </w:r>
      <w:proofErr w:type="gramStart"/>
      <w:r w:rsidRPr="00E3228D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по</w:t>
      </w:r>
      <w:proofErr w:type="gramEnd"/>
      <w:r w:rsidRPr="00E3228D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A70982" w:rsidRPr="00E3228D" w:rsidRDefault="00A70982" w:rsidP="00A70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E3228D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потребительскому рынку отдела </w:t>
      </w:r>
    </w:p>
    <w:p w:rsidR="00A70982" w:rsidRPr="00E3228D" w:rsidRDefault="00A70982" w:rsidP="00A70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E3228D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экономического развития и </w:t>
      </w:r>
    </w:p>
    <w:p w:rsidR="00A70982" w:rsidRPr="00E3228D" w:rsidRDefault="00A70982" w:rsidP="00A70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E3228D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потребительского рынка </w:t>
      </w:r>
    </w:p>
    <w:p w:rsidR="00A70982" w:rsidRPr="00E3228D" w:rsidRDefault="00A70982" w:rsidP="00A70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E3228D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Управления по экономике</w:t>
      </w:r>
      <w:r w:rsidRPr="00E3228D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ab/>
      </w:r>
      <w:r w:rsidRPr="00E3228D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ab/>
      </w:r>
      <w:r w:rsidRPr="00E3228D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ab/>
      </w:r>
      <w:r w:rsidRPr="00E3228D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ab/>
      </w:r>
      <w:r w:rsidRPr="00E3228D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ab/>
      </w:r>
      <w:r w:rsidRPr="00E3228D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ab/>
      </w:r>
      <w:bookmarkStart w:id="0" w:name="_GoBack"/>
      <w:bookmarkEnd w:id="0"/>
      <w:r w:rsidRPr="00E3228D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Т.Ю. Минеева</w:t>
      </w:r>
    </w:p>
    <w:sectPr w:rsidR="00A70982" w:rsidRPr="00E3228D" w:rsidSect="00B53D1E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14" w:rsidRDefault="00B10D14">
      <w:pPr>
        <w:spacing w:after="0" w:line="240" w:lineRule="auto"/>
      </w:pPr>
      <w:r>
        <w:separator/>
      </w:r>
    </w:p>
  </w:endnote>
  <w:endnote w:type="continuationSeparator" w:id="0">
    <w:p w:rsidR="00B10D14" w:rsidRDefault="00B1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318327"/>
      <w:docPartObj>
        <w:docPartGallery w:val="Page Numbers (Bottom of Page)"/>
        <w:docPartUnique/>
      </w:docPartObj>
    </w:sdtPr>
    <w:sdtEndPr/>
    <w:sdtContent>
      <w:p w:rsidR="00B53D1E" w:rsidRDefault="009C29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28D">
          <w:rPr>
            <w:noProof/>
          </w:rPr>
          <w:t>7</w:t>
        </w:r>
        <w:r>
          <w:fldChar w:fldCharType="end"/>
        </w:r>
      </w:p>
    </w:sdtContent>
  </w:sdt>
  <w:p w:rsidR="00B53D1E" w:rsidRDefault="00B10D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14" w:rsidRDefault="00B10D14">
      <w:pPr>
        <w:spacing w:after="0" w:line="240" w:lineRule="auto"/>
      </w:pPr>
      <w:r>
        <w:separator/>
      </w:r>
    </w:p>
  </w:footnote>
  <w:footnote w:type="continuationSeparator" w:id="0">
    <w:p w:rsidR="00B10D14" w:rsidRDefault="00B1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6F0"/>
    <w:multiLevelType w:val="multilevel"/>
    <w:tmpl w:val="2C08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24FE4"/>
    <w:multiLevelType w:val="multilevel"/>
    <w:tmpl w:val="2784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10"/>
    <w:rsid w:val="000408F0"/>
    <w:rsid w:val="00050191"/>
    <w:rsid w:val="000751B6"/>
    <w:rsid w:val="00092CDF"/>
    <w:rsid w:val="0009677E"/>
    <w:rsid w:val="000B3B5E"/>
    <w:rsid w:val="000E0AF0"/>
    <w:rsid w:val="000E2E7B"/>
    <w:rsid w:val="000F05AA"/>
    <w:rsid w:val="001041A0"/>
    <w:rsid w:val="001147C9"/>
    <w:rsid w:val="00132AAD"/>
    <w:rsid w:val="00185F4C"/>
    <w:rsid w:val="00190E43"/>
    <w:rsid w:val="001A0FBA"/>
    <w:rsid w:val="001C6BD2"/>
    <w:rsid w:val="0020379D"/>
    <w:rsid w:val="00212A66"/>
    <w:rsid w:val="00213C6C"/>
    <w:rsid w:val="0022067F"/>
    <w:rsid w:val="0022350C"/>
    <w:rsid w:val="00265882"/>
    <w:rsid w:val="00273F79"/>
    <w:rsid w:val="002756E7"/>
    <w:rsid w:val="002B5F06"/>
    <w:rsid w:val="002C2664"/>
    <w:rsid w:val="002C3127"/>
    <w:rsid w:val="002F5D89"/>
    <w:rsid w:val="002F71AD"/>
    <w:rsid w:val="00310AE0"/>
    <w:rsid w:val="003466F3"/>
    <w:rsid w:val="00380F60"/>
    <w:rsid w:val="00384A73"/>
    <w:rsid w:val="003E535F"/>
    <w:rsid w:val="003F255E"/>
    <w:rsid w:val="0043702B"/>
    <w:rsid w:val="00440900"/>
    <w:rsid w:val="00456B0D"/>
    <w:rsid w:val="0047178A"/>
    <w:rsid w:val="00477B10"/>
    <w:rsid w:val="00495238"/>
    <w:rsid w:val="00521A1D"/>
    <w:rsid w:val="00527457"/>
    <w:rsid w:val="005277C4"/>
    <w:rsid w:val="0057434A"/>
    <w:rsid w:val="005A2E4C"/>
    <w:rsid w:val="005C0E21"/>
    <w:rsid w:val="006424C3"/>
    <w:rsid w:val="00654DCC"/>
    <w:rsid w:val="0068451C"/>
    <w:rsid w:val="00694EE9"/>
    <w:rsid w:val="006A34C1"/>
    <w:rsid w:val="006B565D"/>
    <w:rsid w:val="006C7FD0"/>
    <w:rsid w:val="006F1FD6"/>
    <w:rsid w:val="006F319E"/>
    <w:rsid w:val="00707C83"/>
    <w:rsid w:val="00736F94"/>
    <w:rsid w:val="00757B07"/>
    <w:rsid w:val="00773E03"/>
    <w:rsid w:val="00787839"/>
    <w:rsid w:val="007967DC"/>
    <w:rsid w:val="00797C8E"/>
    <w:rsid w:val="007D4182"/>
    <w:rsid w:val="007F3471"/>
    <w:rsid w:val="00805728"/>
    <w:rsid w:val="0081298B"/>
    <w:rsid w:val="008240C8"/>
    <w:rsid w:val="008405AC"/>
    <w:rsid w:val="00846F58"/>
    <w:rsid w:val="00881B60"/>
    <w:rsid w:val="008953AC"/>
    <w:rsid w:val="008E580B"/>
    <w:rsid w:val="00904C3D"/>
    <w:rsid w:val="00945DFE"/>
    <w:rsid w:val="009468EB"/>
    <w:rsid w:val="00955176"/>
    <w:rsid w:val="00997256"/>
    <w:rsid w:val="009A5C43"/>
    <w:rsid w:val="009C2223"/>
    <w:rsid w:val="009C297D"/>
    <w:rsid w:val="009D1ED4"/>
    <w:rsid w:val="009D7A25"/>
    <w:rsid w:val="009E09CD"/>
    <w:rsid w:val="009E74A0"/>
    <w:rsid w:val="009E785E"/>
    <w:rsid w:val="00A434CF"/>
    <w:rsid w:val="00A70982"/>
    <w:rsid w:val="00A95B97"/>
    <w:rsid w:val="00AE53DC"/>
    <w:rsid w:val="00B0575E"/>
    <w:rsid w:val="00B0633B"/>
    <w:rsid w:val="00B10D14"/>
    <w:rsid w:val="00B939DB"/>
    <w:rsid w:val="00BE4AD1"/>
    <w:rsid w:val="00BF18A4"/>
    <w:rsid w:val="00C07176"/>
    <w:rsid w:val="00C11450"/>
    <w:rsid w:val="00C116A6"/>
    <w:rsid w:val="00C30C2E"/>
    <w:rsid w:val="00C800F3"/>
    <w:rsid w:val="00C81DAC"/>
    <w:rsid w:val="00CC570E"/>
    <w:rsid w:val="00CD0EA5"/>
    <w:rsid w:val="00CE1D3D"/>
    <w:rsid w:val="00D042CD"/>
    <w:rsid w:val="00D11E22"/>
    <w:rsid w:val="00D5635D"/>
    <w:rsid w:val="00D6130D"/>
    <w:rsid w:val="00D650B5"/>
    <w:rsid w:val="00D66E35"/>
    <w:rsid w:val="00D82426"/>
    <w:rsid w:val="00D87D49"/>
    <w:rsid w:val="00D91272"/>
    <w:rsid w:val="00DB048A"/>
    <w:rsid w:val="00DB2253"/>
    <w:rsid w:val="00DB3A46"/>
    <w:rsid w:val="00DC265B"/>
    <w:rsid w:val="00DC649A"/>
    <w:rsid w:val="00DF4ACC"/>
    <w:rsid w:val="00E00694"/>
    <w:rsid w:val="00E11F02"/>
    <w:rsid w:val="00E258A7"/>
    <w:rsid w:val="00E310A0"/>
    <w:rsid w:val="00E3228D"/>
    <w:rsid w:val="00E357B2"/>
    <w:rsid w:val="00E56BA8"/>
    <w:rsid w:val="00E61504"/>
    <w:rsid w:val="00E65805"/>
    <w:rsid w:val="00E7445C"/>
    <w:rsid w:val="00E80F6B"/>
    <w:rsid w:val="00ED460A"/>
    <w:rsid w:val="00F04464"/>
    <w:rsid w:val="00F12148"/>
    <w:rsid w:val="00F2101B"/>
    <w:rsid w:val="00F24853"/>
    <w:rsid w:val="00F72846"/>
    <w:rsid w:val="00F93BA8"/>
    <w:rsid w:val="00FA64DF"/>
    <w:rsid w:val="00FB383C"/>
    <w:rsid w:val="00FB4E2B"/>
    <w:rsid w:val="00FC02DF"/>
    <w:rsid w:val="00FD218C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7B10"/>
  </w:style>
  <w:style w:type="paragraph" w:styleId="a5">
    <w:name w:val="Normal (Web)"/>
    <w:basedOn w:val="a"/>
    <w:uiPriority w:val="99"/>
    <w:semiHidden/>
    <w:unhideWhenUsed/>
    <w:rsid w:val="00477B1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B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7B10"/>
  </w:style>
  <w:style w:type="paragraph" w:styleId="a5">
    <w:name w:val="Normal (Web)"/>
    <w:basedOn w:val="a"/>
    <w:uiPriority w:val="99"/>
    <w:semiHidden/>
    <w:unhideWhenUsed/>
    <w:rsid w:val="00477B1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B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558E-2"/>
          <c:y val="0.10088608541882538"/>
          <c:w val="0.74444444444444446"/>
          <c:h val="0.64028656514964133"/>
        </c:manualLayout>
      </c:layout>
      <c:pie3DChart>
        <c:varyColors val="1"/>
        <c:ser>
          <c:idx val="0"/>
          <c:order val="0"/>
          <c:spPr>
            <a:solidFill>
              <a:srgbClr val="FFFF00"/>
            </a:solidFill>
          </c:spPr>
          <c:explosion val="40"/>
          <c:dPt>
            <c:idx val="0"/>
            <c:bubble3D val="0"/>
            <c:explosion val="27"/>
            <c:spPr>
              <a:solidFill>
                <a:srgbClr val="00B0F0"/>
              </a:solidFill>
            </c:spPr>
          </c:dPt>
          <c:dPt>
            <c:idx val="1"/>
            <c:bubble3D val="0"/>
            <c:explosion val="27"/>
            <c:spPr>
              <a:solidFill>
                <a:srgbClr val="92D050"/>
              </a:solidFill>
            </c:spPr>
          </c:dPt>
          <c:dPt>
            <c:idx val="2"/>
            <c:bubble3D val="0"/>
            <c:explosion val="8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5</a:t>
                    </a:r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Структура!$B$2:$D$2</c:f>
              <c:strCache>
                <c:ptCount val="3"/>
                <c:pt idx="0">
                  <c:v>Розничная торговля</c:v>
                </c:pt>
                <c:pt idx="1">
                  <c:v>Общественное питание</c:v>
                </c:pt>
                <c:pt idx="2">
                  <c:v>Бытовые услуги</c:v>
                </c:pt>
              </c:strCache>
            </c:strRef>
          </c:cat>
          <c:val>
            <c:numRef>
              <c:f>Структура!$B$3:$D$3</c:f>
              <c:numCache>
                <c:formatCode>General</c:formatCode>
                <c:ptCount val="3"/>
                <c:pt idx="0">
                  <c:v>134</c:v>
                </c:pt>
                <c:pt idx="1">
                  <c:v>51</c:v>
                </c:pt>
                <c:pt idx="2">
                  <c:v>162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8361636045494315"/>
          <c:y val="0.74568030272575525"/>
          <c:w val="0.39387817147856519"/>
          <c:h val="0.19105341136620449"/>
        </c:manualLayout>
      </c:layout>
      <c:overlay val="0"/>
      <c:txPr>
        <a:bodyPr/>
        <a:lstStyle/>
        <a:p>
          <a:pPr rtl="0">
            <a:defRPr b="1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587149442409086E-3"/>
          <c:y val="1.6018343963293256E-3"/>
          <c:w val="0.99690870774459095"/>
          <c:h val="0.8260176071741032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99FF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1.2359984550019312E-2"/>
                  <c:y val="-3.2018296169239652E-2"/>
                </c:manualLayout>
              </c:layout>
              <c:tx>
                <c:rich>
                  <a:bodyPr/>
                  <a:lstStyle/>
                  <a:p>
                    <a:r>
                      <a:rPr lang="en-US" sz="1100" baseline="0"/>
                      <a:t>3,5</a:t>
                    </a:r>
                    <a:r>
                      <a:rPr lang="ru-RU" sz="1100" baseline="0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74971031286212E-2"/>
                  <c:y val="-3.430531732418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809965237543453E-2"/>
                  <c:y val="-3.8879359634076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товарооборот!$D$1:$F$1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товарооборот!$D$2:$F$2</c:f>
              <c:numCache>
                <c:formatCode>General</c:formatCode>
                <c:ptCount val="3"/>
                <c:pt idx="0">
                  <c:v>3.76</c:v>
                </c:pt>
                <c:pt idx="1">
                  <c:v>3.86</c:v>
                </c:pt>
                <c:pt idx="2">
                  <c:v>3.88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804224"/>
        <c:axId val="32998528"/>
        <c:axId val="0"/>
      </c:bar3DChart>
      <c:catAx>
        <c:axId val="3280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/>
            </a:solidFill>
          </a:ln>
        </c:spPr>
        <c:txPr>
          <a:bodyPr/>
          <a:lstStyle/>
          <a:p>
            <a:pPr>
              <a:defRPr sz="1000" b="1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32998528"/>
        <c:crosses val="autoZero"/>
        <c:auto val="1"/>
        <c:lblAlgn val="ctr"/>
        <c:lblOffset val="100"/>
        <c:noMultiLvlLbl val="0"/>
      </c:catAx>
      <c:valAx>
        <c:axId val="329985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28042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8088642659279776E-2"/>
          <c:y val="1.8726591760299626E-2"/>
          <c:w val="0.92382271468144039"/>
          <c:h val="0.8312316297541458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CCFFCC">
                <a:alpha val="89804"/>
              </a:srgbClr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1.6666666666666666E-2"/>
                  <c:y val="-1.8518518518518528E-2"/>
                </c:manualLayout>
              </c:layout>
              <c:spPr/>
              <c:txPr>
                <a:bodyPr/>
                <a:lstStyle/>
                <a:p>
                  <a:pPr>
                    <a:defRPr sz="1100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97E-2"/>
                  <c:y val="-2.7777777777777776E-2"/>
                </c:manualLayout>
              </c:layout>
              <c:spPr/>
              <c:txPr>
                <a:bodyPr/>
                <a:lstStyle/>
                <a:p>
                  <a:pPr>
                    <a:defRPr sz="1100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666E-2"/>
                  <c:y val="-2.3148148148148147E-2"/>
                </c:manualLayout>
              </c:layout>
              <c:spPr/>
              <c:txPr>
                <a:bodyPr/>
                <a:lstStyle/>
                <a:p>
                  <a:pPr>
                    <a:defRPr sz="1100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товарооборот!$D$5:$F$5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товарооборот!$D$6:$F$6</c:f>
              <c:numCache>
                <c:formatCode>General</c:formatCode>
                <c:ptCount val="3"/>
                <c:pt idx="0">
                  <c:v>237.3</c:v>
                </c:pt>
                <c:pt idx="1">
                  <c:v>249.8</c:v>
                </c:pt>
                <c:pt idx="2">
                  <c:v>251.6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024640"/>
        <c:axId val="33112448"/>
        <c:axId val="0"/>
      </c:bar3DChart>
      <c:catAx>
        <c:axId val="3302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noFill/>
          </a:ln>
        </c:spPr>
        <c:txPr>
          <a:bodyPr/>
          <a:lstStyle/>
          <a:p>
            <a:pPr>
              <a:defRPr sz="1000" b="1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33112448"/>
        <c:crosses val="autoZero"/>
        <c:auto val="1"/>
        <c:lblAlgn val="ctr"/>
        <c:lblOffset val="100"/>
        <c:noMultiLvlLbl val="0"/>
      </c:catAx>
      <c:valAx>
        <c:axId val="331124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30246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8988003748147718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FFCC"/>
            </a:solidFill>
          </c:spPr>
          <c:invertIfNegative val="0"/>
          <c:dLbls>
            <c:dLbl>
              <c:idx val="0"/>
              <c:layout>
                <c:manualLayout>
                  <c:x val="1.3888888888888864E-2"/>
                  <c:y val="-2.7777777777777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-2.777777777777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1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товарооборот!$D$9:$F$9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товарооборот!$D$10:$F$10</c:f>
              <c:numCache>
                <c:formatCode>General</c:formatCode>
                <c:ptCount val="3"/>
                <c:pt idx="0">
                  <c:v>103</c:v>
                </c:pt>
                <c:pt idx="1">
                  <c:v>87.9</c:v>
                </c:pt>
                <c:pt idx="2">
                  <c:v>88.5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011712"/>
        <c:axId val="109013248"/>
        <c:axId val="0"/>
      </c:bar3DChart>
      <c:catAx>
        <c:axId val="10901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000" b="1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9013248"/>
        <c:crosses val="autoZero"/>
        <c:auto val="1"/>
        <c:lblAlgn val="ctr"/>
        <c:lblOffset val="100"/>
        <c:noMultiLvlLbl val="0"/>
      </c:catAx>
      <c:valAx>
        <c:axId val="109013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901171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0.00785</cdr:x>
      <cdr:y>0.02233</cdr:y>
    </cdr:from>
    <cdr:to>
      <cdr:x>0.97243</cdr:x>
      <cdr:y>0.12143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5890" y="50489"/>
          <a:ext cx="4410060" cy="2240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Структура предприятий потребительского рынка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49</cp:revision>
  <cp:lastPrinted>2018-01-26T08:27:00Z</cp:lastPrinted>
  <dcterms:created xsi:type="dcterms:W3CDTF">2018-01-25T03:21:00Z</dcterms:created>
  <dcterms:modified xsi:type="dcterms:W3CDTF">2018-01-29T02:36:00Z</dcterms:modified>
</cp:coreProperties>
</file>