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6F" w:rsidRDefault="001850D2">
      <w:pPr>
        <w:pStyle w:val="ConsPlusNormal"/>
        <w:jc w:val="right"/>
        <w:outlineLvl w:val="0"/>
        <w:rPr>
          <w:rFonts w:ascii="Times New Roman" w:hAnsi="Times New Roman" w:cs="Times New Roman"/>
          <w:sz w:val="28"/>
          <w:szCs w:val="28"/>
        </w:rPr>
      </w:pPr>
      <w:r w:rsidRPr="00D83B6A">
        <w:rPr>
          <w:rFonts w:ascii="Times New Roman" w:hAnsi="Times New Roman" w:cs="Times New Roman"/>
          <w:sz w:val="28"/>
          <w:szCs w:val="28"/>
        </w:rPr>
        <w:t xml:space="preserve">Приложение </w:t>
      </w:r>
    </w:p>
    <w:p w:rsidR="00D83B6A" w:rsidRDefault="00D83B6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D83B6A" w:rsidRDefault="00D83B6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городского округа муниципального </w:t>
      </w:r>
    </w:p>
    <w:p w:rsidR="00D83B6A" w:rsidRDefault="00D83B6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образования «город Саянск»</w:t>
      </w:r>
    </w:p>
    <w:p w:rsidR="00D83B6A" w:rsidRPr="00D83B6A" w:rsidRDefault="00D83B6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 ______________ № ___________</w:t>
      </w:r>
    </w:p>
    <w:p w:rsidR="001850D2" w:rsidRDefault="001850D2">
      <w:pPr>
        <w:pStyle w:val="ConsPlusNormal"/>
        <w:jc w:val="both"/>
        <w:rPr>
          <w:rFonts w:ascii="Times New Roman" w:hAnsi="Times New Roman" w:cs="Times New Roman"/>
          <w:sz w:val="28"/>
          <w:szCs w:val="28"/>
        </w:rPr>
      </w:pPr>
    </w:p>
    <w:p w:rsidR="00D83B6A" w:rsidRPr="00D83B6A" w:rsidRDefault="00D83B6A">
      <w:pPr>
        <w:pStyle w:val="ConsPlusNormal"/>
        <w:jc w:val="both"/>
        <w:rPr>
          <w:rFonts w:ascii="Times New Roman" w:hAnsi="Times New Roman" w:cs="Times New Roman"/>
          <w:sz w:val="28"/>
          <w:szCs w:val="28"/>
        </w:rPr>
      </w:pPr>
    </w:p>
    <w:p w:rsidR="001850D2" w:rsidRPr="00D83B6A" w:rsidRDefault="00D83B6A">
      <w:pPr>
        <w:pStyle w:val="ConsPlusNormal"/>
        <w:jc w:val="center"/>
        <w:rPr>
          <w:rFonts w:ascii="Times New Roman" w:hAnsi="Times New Roman" w:cs="Times New Roman"/>
          <w:sz w:val="28"/>
          <w:szCs w:val="28"/>
        </w:rPr>
      </w:pPr>
      <w:bookmarkStart w:id="0" w:name="P29"/>
      <w:bookmarkEnd w:id="0"/>
      <w:r>
        <w:rPr>
          <w:rFonts w:ascii="Times New Roman" w:hAnsi="Times New Roman" w:cs="Times New Roman"/>
          <w:sz w:val="28"/>
          <w:szCs w:val="28"/>
        </w:rPr>
        <w:t>Отчет о реализации муниципальной программы «Поддержка и развитие субъектов малого и среднего предпринимательства в муниципальном образовании «город Саянск» за 20</w:t>
      </w:r>
      <w:r w:rsidR="00414334">
        <w:rPr>
          <w:rFonts w:ascii="Times New Roman" w:hAnsi="Times New Roman" w:cs="Times New Roman"/>
          <w:sz w:val="28"/>
          <w:szCs w:val="28"/>
        </w:rPr>
        <w:t>20</w:t>
      </w:r>
      <w:r>
        <w:rPr>
          <w:rFonts w:ascii="Times New Roman" w:hAnsi="Times New Roman" w:cs="Times New Roman"/>
          <w:sz w:val="28"/>
          <w:szCs w:val="28"/>
        </w:rPr>
        <w:t xml:space="preserve"> год</w:t>
      </w:r>
      <w:r w:rsidR="00A409FC">
        <w:rPr>
          <w:rFonts w:ascii="Times New Roman" w:hAnsi="Times New Roman" w:cs="Times New Roman"/>
          <w:sz w:val="28"/>
          <w:szCs w:val="28"/>
        </w:rPr>
        <w:t xml:space="preserve"> </w:t>
      </w:r>
    </w:p>
    <w:p w:rsidR="000C42A6" w:rsidRDefault="000C42A6" w:rsidP="000C42A6">
      <w:pPr>
        <w:pStyle w:val="Default"/>
      </w:pPr>
    </w:p>
    <w:p w:rsidR="000C42A6" w:rsidRDefault="000C42A6" w:rsidP="000C42A6">
      <w:pPr>
        <w:pStyle w:val="Default"/>
      </w:pPr>
    </w:p>
    <w:p w:rsidR="00D6361E" w:rsidRDefault="00D6361E" w:rsidP="00D6361E">
      <w:pPr>
        <w:pStyle w:val="Default"/>
        <w:ind w:firstLine="709"/>
        <w:jc w:val="both"/>
        <w:rPr>
          <w:sz w:val="28"/>
          <w:szCs w:val="28"/>
        </w:rPr>
      </w:pPr>
      <w:r>
        <w:rPr>
          <w:sz w:val="28"/>
          <w:szCs w:val="28"/>
        </w:rPr>
        <w:t xml:space="preserve">По данным, </w:t>
      </w:r>
      <w:r w:rsidRPr="00971476">
        <w:rPr>
          <w:sz w:val="28"/>
          <w:szCs w:val="28"/>
        </w:rPr>
        <w:t>представленным Федеральной налоговой службой № 14 по Иркутской области</w:t>
      </w:r>
      <w:r>
        <w:rPr>
          <w:sz w:val="28"/>
          <w:szCs w:val="28"/>
        </w:rPr>
        <w:t xml:space="preserve">, по состоянию на 1 января 2021 года в городе осуществляют деятельность </w:t>
      </w:r>
      <w:r w:rsidRPr="00971476">
        <w:rPr>
          <w:sz w:val="28"/>
          <w:szCs w:val="28"/>
        </w:rPr>
        <w:t>903</w:t>
      </w:r>
      <w:r>
        <w:rPr>
          <w:sz w:val="28"/>
          <w:szCs w:val="28"/>
        </w:rPr>
        <w:t xml:space="preserve"> субъекта </w:t>
      </w:r>
      <w:r w:rsidRPr="00CD0BBB">
        <w:rPr>
          <w:sz w:val="28"/>
          <w:szCs w:val="28"/>
        </w:rPr>
        <w:t>малого и среднего предпринимательства (далее – субъекты МСП)</w:t>
      </w:r>
      <w:r>
        <w:rPr>
          <w:sz w:val="28"/>
          <w:szCs w:val="28"/>
        </w:rPr>
        <w:t xml:space="preserve">. Из них </w:t>
      </w:r>
      <w:r w:rsidRPr="00971476">
        <w:rPr>
          <w:sz w:val="28"/>
          <w:szCs w:val="28"/>
        </w:rPr>
        <w:t>178</w:t>
      </w:r>
      <w:r w:rsidRPr="00B24A1C">
        <w:rPr>
          <w:sz w:val="28"/>
          <w:szCs w:val="28"/>
        </w:rPr>
        <w:t xml:space="preserve"> </w:t>
      </w:r>
      <w:proofErr w:type="spellStart"/>
      <w:r w:rsidRPr="00B24A1C">
        <w:rPr>
          <w:sz w:val="28"/>
          <w:szCs w:val="28"/>
        </w:rPr>
        <w:t>микропредприятия</w:t>
      </w:r>
      <w:proofErr w:type="spellEnd"/>
      <w:r>
        <w:rPr>
          <w:sz w:val="28"/>
          <w:szCs w:val="28"/>
        </w:rPr>
        <w:t>, 36</w:t>
      </w:r>
      <w:r w:rsidRPr="00B24A1C">
        <w:rPr>
          <w:sz w:val="28"/>
          <w:szCs w:val="28"/>
        </w:rPr>
        <w:t xml:space="preserve"> малы</w:t>
      </w:r>
      <w:r>
        <w:rPr>
          <w:sz w:val="28"/>
          <w:szCs w:val="28"/>
        </w:rPr>
        <w:t xml:space="preserve">х, 1 среднее и </w:t>
      </w:r>
      <w:r w:rsidRPr="00971476">
        <w:rPr>
          <w:sz w:val="28"/>
          <w:szCs w:val="28"/>
        </w:rPr>
        <w:t>688</w:t>
      </w:r>
      <w:r>
        <w:rPr>
          <w:sz w:val="28"/>
          <w:szCs w:val="28"/>
        </w:rPr>
        <w:t xml:space="preserve"> – индивидуальных предпринимателей. </w:t>
      </w:r>
    </w:p>
    <w:p w:rsidR="00D6361E" w:rsidRPr="00764731" w:rsidRDefault="00D6361E" w:rsidP="00D6361E">
      <w:pPr>
        <w:pStyle w:val="Default"/>
        <w:ind w:firstLine="709"/>
        <w:jc w:val="both"/>
        <w:rPr>
          <w:color w:val="auto"/>
          <w:sz w:val="28"/>
          <w:szCs w:val="28"/>
        </w:rPr>
      </w:pPr>
      <w:r>
        <w:rPr>
          <w:sz w:val="28"/>
          <w:szCs w:val="28"/>
        </w:rPr>
        <w:t xml:space="preserve">В 2020 году продолжилась тенденция по сокращению числа субъектов МСП, по сравнению с 2019 годом стало меньше на </w:t>
      </w:r>
      <w:r w:rsidRPr="00971476">
        <w:rPr>
          <w:sz w:val="28"/>
          <w:szCs w:val="28"/>
        </w:rPr>
        <w:t>3,1</w:t>
      </w:r>
      <w:r>
        <w:rPr>
          <w:sz w:val="28"/>
          <w:szCs w:val="28"/>
        </w:rPr>
        <w:t xml:space="preserve">%, в </w:t>
      </w:r>
      <w:proofErr w:type="spellStart"/>
      <w:r>
        <w:rPr>
          <w:sz w:val="28"/>
          <w:szCs w:val="28"/>
        </w:rPr>
        <w:t>т.ч</w:t>
      </w:r>
      <w:proofErr w:type="spellEnd"/>
      <w:r>
        <w:rPr>
          <w:sz w:val="28"/>
          <w:szCs w:val="28"/>
        </w:rPr>
        <w:t xml:space="preserve">. организаций на </w:t>
      </w:r>
      <w:r w:rsidRPr="00971476">
        <w:rPr>
          <w:sz w:val="28"/>
          <w:szCs w:val="28"/>
        </w:rPr>
        <w:t>2,3</w:t>
      </w:r>
      <w:r>
        <w:rPr>
          <w:sz w:val="28"/>
          <w:szCs w:val="28"/>
        </w:rPr>
        <w:t xml:space="preserve">%,  индивидуальных предпринимателей на </w:t>
      </w:r>
      <w:r w:rsidRPr="00971476">
        <w:rPr>
          <w:sz w:val="28"/>
          <w:szCs w:val="28"/>
        </w:rPr>
        <w:t>3</w:t>
      </w:r>
      <w:r w:rsidRPr="00971476">
        <w:rPr>
          <w:color w:val="auto"/>
          <w:sz w:val="28"/>
          <w:szCs w:val="28"/>
        </w:rPr>
        <w:t>,4</w:t>
      </w:r>
      <w:r w:rsidRPr="00764731">
        <w:rPr>
          <w:color w:val="auto"/>
          <w:sz w:val="28"/>
          <w:szCs w:val="28"/>
        </w:rPr>
        <w:t xml:space="preserve">%. </w:t>
      </w:r>
    </w:p>
    <w:p w:rsidR="00D6361E" w:rsidRPr="00764731" w:rsidRDefault="00D6361E" w:rsidP="00D636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w:t>
      </w:r>
      <w:r w:rsidRPr="00546276">
        <w:rPr>
          <w:rFonts w:ascii="Times New Roman" w:hAnsi="Times New Roman" w:cs="Times New Roman"/>
          <w:sz w:val="28"/>
          <w:szCs w:val="28"/>
        </w:rPr>
        <w:t xml:space="preserve">нижение количества субъектов МСП </w:t>
      </w:r>
      <w:r w:rsidRPr="00764731">
        <w:rPr>
          <w:rFonts w:ascii="Times New Roman" w:hAnsi="Times New Roman" w:cs="Times New Roman"/>
          <w:sz w:val="28"/>
          <w:szCs w:val="28"/>
        </w:rPr>
        <w:t xml:space="preserve">большое влияние оказало распространение новой </w:t>
      </w:r>
      <w:proofErr w:type="spellStart"/>
      <w:r w:rsidRPr="00764731">
        <w:rPr>
          <w:rFonts w:ascii="Times New Roman" w:hAnsi="Times New Roman" w:cs="Times New Roman"/>
          <w:sz w:val="28"/>
          <w:szCs w:val="28"/>
        </w:rPr>
        <w:t>коронавирусной</w:t>
      </w:r>
      <w:proofErr w:type="spellEnd"/>
      <w:r w:rsidRPr="00764731">
        <w:rPr>
          <w:rFonts w:ascii="Times New Roman" w:hAnsi="Times New Roman" w:cs="Times New Roman"/>
          <w:sz w:val="28"/>
          <w:szCs w:val="28"/>
        </w:rPr>
        <w:t xml:space="preserve"> инфекции и введенных ограничений.</w:t>
      </w:r>
    </w:p>
    <w:p w:rsidR="00D6361E" w:rsidRDefault="00D6361E" w:rsidP="00D63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Малое предпринимательство представлено во всех отраслях  экономики города. </w:t>
      </w:r>
    </w:p>
    <w:p w:rsidR="00D6361E" w:rsidRDefault="00D6361E" w:rsidP="00D6361E">
      <w:pPr>
        <w:pStyle w:val="Default"/>
        <w:ind w:firstLine="709"/>
        <w:jc w:val="both"/>
        <w:rPr>
          <w:sz w:val="28"/>
          <w:szCs w:val="28"/>
        </w:rPr>
      </w:pPr>
      <w:r w:rsidRPr="00764731">
        <w:rPr>
          <w:color w:val="auto"/>
          <w:sz w:val="28"/>
          <w:szCs w:val="28"/>
        </w:rPr>
        <w:t>Структура субъектов малого и среднего бизнеса по видам экономической деятельности в 2020 году представлена следующим</w:t>
      </w:r>
      <w:r>
        <w:rPr>
          <w:sz w:val="28"/>
          <w:szCs w:val="28"/>
        </w:rPr>
        <w:t xml:space="preserve"> образом: </w:t>
      </w:r>
    </w:p>
    <w:p w:rsidR="00D6361E" w:rsidRDefault="00D6361E" w:rsidP="00D6361E">
      <w:pPr>
        <w:pStyle w:val="Default"/>
        <w:ind w:firstLine="709"/>
        <w:rPr>
          <w:sz w:val="28"/>
          <w:szCs w:val="28"/>
        </w:rPr>
      </w:pPr>
      <w:r>
        <w:rPr>
          <w:sz w:val="28"/>
          <w:szCs w:val="28"/>
        </w:rPr>
        <w:t xml:space="preserve">- оптовая и розничная торговля – 41,6%; </w:t>
      </w:r>
    </w:p>
    <w:p w:rsidR="00D6361E" w:rsidRDefault="00D6361E" w:rsidP="00D6361E">
      <w:pPr>
        <w:pStyle w:val="Default"/>
        <w:ind w:firstLine="709"/>
        <w:rPr>
          <w:sz w:val="28"/>
          <w:szCs w:val="28"/>
        </w:rPr>
      </w:pPr>
      <w:r>
        <w:rPr>
          <w:sz w:val="28"/>
          <w:szCs w:val="28"/>
        </w:rPr>
        <w:t xml:space="preserve">-деятельность в области транспорта – 8,8%; </w:t>
      </w:r>
    </w:p>
    <w:p w:rsidR="00D6361E" w:rsidRDefault="00D6361E" w:rsidP="00D6361E">
      <w:pPr>
        <w:pStyle w:val="Default"/>
        <w:ind w:firstLine="709"/>
        <w:rPr>
          <w:sz w:val="28"/>
          <w:szCs w:val="28"/>
        </w:rPr>
      </w:pPr>
      <w:r>
        <w:rPr>
          <w:sz w:val="28"/>
          <w:szCs w:val="28"/>
        </w:rPr>
        <w:t>- бытовые услуги – 8,0%;</w:t>
      </w:r>
    </w:p>
    <w:p w:rsidR="00D6361E" w:rsidRDefault="00D6361E" w:rsidP="00D6361E">
      <w:pPr>
        <w:pStyle w:val="Default"/>
        <w:ind w:firstLine="709"/>
        <w:rPr>
          <w:sz w:val="28"/>
          <w:szCs w:val="28"/>
        </w:rPr>
      </w:pPr>
      <w:r>
        <w:rPr>
          <w:sz w:val="28"/>
          <w:szCs w:val="28"/>
        </w:rPr>
        <w:t xml:space="preserve">- строительство – 7,6%; </w:t>
      </w:r>
    </w:p>
    <w:p w:rsidR="00D6361E" w:rsidRDefault="00D6361E" w:rsidP="00D6361E">
      <w:pPr>
        <w:pStyle w:val="Default"/>
        <w:ind w:firstLine="709"/>
        <w:rPr>
          <w:sz w:val="28"/>
          <w:szCs w:val="28"/>
        </w:rPr>
      </w:pPr>
      <w:r>
        <w:rPr>
          <w:sz w:val="28"/>
          <w:szCs w:val="28"/>
        </w:rPr>
        <w:t xml:space="preserve">-обрабатывающие производства – 5,8%; </w:t>
      </w:r>
    </w:p>
    <w:p w:rsidR="00D6361E" w:rsidRDefault="00D6361E" w:rsidP="00D6361E">
      <w:pPr>
        <w:pStyle w:val="Default"/>
        <w:ind w:firstLine="709"/>
        <w:rPr>
          <w:sz w:val="28"/>
          <w:szCs w:val="28"/>
        </w:rPr>
      </w:pPr>
      <w:r>
        <w:rPr>
          <w:sz w:val="28"/>
          <w:szCs w:val="28"/>
        </w:rPr>
        <w:t xml:space="preserve">- сдача в аренду и эксплуатация жилищным фондом – 5,8%; </w:t>
      </w:r>
    </w:p>
    <w:p w:rsidR="00D6361E" w:rsidRDefault="00D6361E" w:rsidP="00D6361E">
      <w:pPr>
        <w:pStyle w:val="Default"/>
        <w:ind w:firstLine="709"/>
        <w:rPr>
          <w:sz w:val="28"/>
          <w:szCs w:val="28"/>
        </w:rPr>
      </w:pPr>
      <w:r>
        <w:rPr>
          <w:sz w:val="28"/>
          <w:szCs w:val="28"/>
        </w:rPr>
        <w:t>- ремонт транспортных средств – 3,8%;</w:t>
      </w:r>
    </w:p>
    <w:p w:rsidR="00D6361E" w:rsidRDefault="00D6361E" w:rsidP="00D6361E">
      <w:pPr>
        <w:pStyle w:val="Default"/>
        <w:ind w:firstLine="709"/>
        <w:rPr>
          <w:sz w:val="28"/>
          <w:szCs w:val="28"/>
        </w:rPr>
      </w:pPr>
      <w:r>
        <w:rPr>
          <w:sz w:val="28"/>
          <w:szCs w:val="28"/>
        </w:rPr>
        <w:t xml:space="preserve">- деятельность гостиниц и ресторанов –3,6%; </w:t>
      </w:r>
    </w:p>
    <w:p w:rsidR="00D6361E" w:rsidRDefault="00D6361E" w:rsidP="00D6361E">
      <w:pPr>
        <w:pStyle w:val="Default"/>
        <w:ind w:firstLine="709"/>
        <w:rPr>
          <w:sz w:val="28"/>
          <w:szCs w:val="28"/>
        </w:rPr>
      </w:pPr>
      <w:r>
        <w:rPr>
          <w:sz w:val="28"/>
          <w:szCs w:val="28"/>
        </w:rPr>
        <w:t>- научная и техническая деятельность – 3,4%;</w:t>
      </w:r>
    </w:p>
    <w:p w:rsidR="00D6361E" w:rsidRDefault="00D6361E" w:rsidP="00D6361E">
      <w:pPr>
        <w:pStyle w:val="Default"/>
        <w:ind w:firstLine="709"/>
        <w:rPr>
          <w:sz w:val="28"/>
          <w:szCs w:val="28"/>
        </w:rPr>
      </w:pPr>
      <w:r>
        <w:rPr>
          <w:sz w:val="28"/>
          <w:szCs w:val="28"/>
        </w:rPr>
        <w:t>- деятельность в области информации и связи – 3,0%;</w:t>
      </w:r>
    </w:p>
    <w:p w:rsidR="00D6361E" w:rsidRDefault="00D6361E" w:rsidP="00D6361E">
      <w:pPr>
        <w:pStyle w:val="Default"/>
        <w:ind w:firstLine="709"/>
        <w:rPr>
          <w:sz w:val="28"/>
          <w:szCs w:val="28"/>
        </w:rPr>
      </w:pPr>
      <w:r>
        <w:rPr>
          <w:sz w:val="28"/>
          <w:szCs w:val="28"/>
        </w:rPr>
        <w:t>- сельское и лесное хозяйство – 2,2%;</w:t>
      </w:r>
    </w:p>
    <w:p w:rsidR="00D6361E" w:rsidRDefault="00D6361E" w:rsidP="00D6361E">
      <w:pPr>
        <w:pStyle w:val="Default"/>
        <w:ind w:firstLine="709"/>
        <w:rPr>
          <w:sz w:val="28"/>
          <w:szCs w:val="28"/>
        </w:rPr>
      </w:pPr>
      <w:r>
        <w:rPr>
          <w:sz w:val="28"/>
          <w:szCs w:val="28"/>
        </w:rPr>
        <w:t>- административная – 1,9%;</w:t>
      </w:r>
    </w:p>
    <w:p w:rsidR="00D6361E" w:rsidRDefault="00D6361E" w:rsidP="00D6361E">
      <w:pPr>
        <w:pStyle w:val="Default"/>
        <w:ind w:firstLine="709"/>
        <w:rPr>
          <w:sz w:val="28"/>
          <w:szCs w:val="28"/>
        </w:rPr>
      </w:pPr>
      <w:r>
        <w:rPr>
          <w:sz w:val="28"/>
          <w:szCs w:val="28"/>
        </w:rPr>
        <w:t>- финансовая и страховая – 1,1%;</w:t>
      </w:r>
    </w:p>
    <w:p w:rsidR="00D6361E" w:rsidRDefault="00D6361E" w:rsidP="00D6361E">
      <w:pPr>
        <w:pStyle w:val="Default"/>
        <w:ind w:firstLine="709"/>
        <w:rPr>
          <w:sz w:val="28"/>
          <w:szCs w:val="28"/>
        </w:rPr>
      </w:pPr>
      <w:r>
        <w:rPr>
          <w:sz w:val="28"/>
          <w:szCs w:val="28"/>
        </w:rPr>
        <w:t>- здравоохранение, культура, спорт – по 0,9%;</w:t>
      </w:r>
    </w:p>
    <w:p w:rsidR="00D6361E" w:rsidRDefault="00D6361E" w:rsidP="00D6361E">
      <w:pPr>
        <w:pStyle w:val="Default"/>
        <w:ind w:firstLine="709"/>
        <w:rPr>
          <w:sz w:val="28"/>
          <w:szCs w:val="28"/>
        </w:rPr>
      </w:pPr>
      <w:r>
        <w:rPr>
          <w:sz w:val="28"/>
          <w:szCs w:val="28"/>
        </w:rPr>
        <w:t>- добыча полезных ископаемых – 0,8%;</w:t>
      </w:r>
    </w:p>
    <w:p w:rsidR="00D6361E" w:rsidRDefault="00D6361E" w:rsidP="00D6361E">
      <w:pPr>
        <w:pStyle w:val="Default"/>
        <w:ind w:firstLine="709"/>
        <w:rPr>
          <w:sz w:val="28"/>
          <w:szCs w:val="28"/>
        </w:rPr>
      </w:pPr>
      <w:r>
        <w:rPr>
          <w:sz w:val="28"/>
          <w:szCs w:val="28"/>
        </w:rPr>
        <w:t>- образовательная деятельность –0,5%;</w:t>
      </w:r>
    </w:p>
    <w:p w:rsidR="00D6361E" w:rsidRDefault="00D6361E" w:rsidP="00D6361E">
      <w:pPr>
        <w:pStyle w:val="Default"/>
        <w:ind w:firstLine="709"/>
        <w:rPr>
          <w:sz w:val="28"/>
          <w:szCs w:val="28"/>
        </w:rPr>
      </w:pPr>
      <w:r>
        <w:rPr>
          <w:sz w:val="28"/>
          <w:szCs w:val="28"/>
        </w:rPr>
        <w:t>- водоснабжение, водоотведение, утилизация отходов – 0,3%.</w:t>
      </w:r>
    </w:p>
    <w:p w:rsidR="00D6361E" w:rsidRDefault="00D6361E" w:rsidP="00D6361E">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sz w:val="28"/>
          <w:szCs w:val="28"/>
        </w:rPr>
        <w:lastRenderedPageBreak/>
        <w:t xml:space="preserve">В структуре малого и среднего предпринимательства в 2020 году по сравнению с 2019 существенных изменений не произошло. Сохранилась тенденция по сокращению предприятий оптовой и розничной торговли и увеличению количества субъектов МСП в сфере транспорта, строительства. </w:t>
      </w:r>
    </w:p>
    <w:p w:rsidR="00D6361E" w:rsidRPr="00EA7C2F" w:rsidRDefault="00D6361E" w:rsidP="00D6361E">
      <w:pPr>
        <w:spacing w:after="0" w:line="240" w:lineRule="auto"/>
        <w:ind w:firstLine="709"/>
        <w:jc w:val="both"/>
        <w:rPr>
          <w:rFonts w:ascii="Times New Roman" w:hAnsi="Times New Roman" w:cs="Times New Roman"/>
          <w:sz w:val="28"/>
          <w:szCs w:val="28"/>
        </w:rPr>
      </w:pPr>
      <w:r w:rsidRPr="00EA7C2F">
        <w:rPr>
          <w:rFonts w:ascii="Times New Roman" w:hAnsi="Times New Roman" w:cs="Times New Roman"/>
          <w:sz w:val="28"/>
          <w:szCs w:val="28"/>
        </w:rPr>
        <w:t xml:space="preserve">По оценке численность занятых на малых предприятиях города за </w:t>
      </w:r>
      <w:r>
        <w:rPr>
          <w:rFonts w:ascii="Times New Roman" w:hAnsi="Times New Roman" w:cs="Times New Roman"/>
          <w:sz w:val="28"/>
          <w:szCs w:val="28"/>
        </w:rPr>
        <w:t xml:space="preserve">2020 год составила 2229 человек, </w:t>
      </w:r>
      <w:r w:rsidRPr="00971476">
        <w:rPr>
          <w:rFonts w:ascii="Times New Roman" w:hAnsi="Times New Roman" w:cs="Times New Roman"/>
          <w:sz w:val="28"/>
          <w:szCs w:val="28"/>
        </w:rPr>
        <w:t>что составляет 16,8% от среднесписочной численности работников (без внешних совместителей) по полному кругу организаций.</w:t>
      </w:r>
    </w:p>
    <w:p w:rsidR="00D6361E" w:rsidRPr="00546276" w:rsidRDefault="00D6361E" w:rsidP="00D6361E">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bCs/>
          <w:sz w:val="28"/>
          <w:szCs w:val="28"/>
        </w:rPr>
        <w:t>Сумма налоговых поступлений</w:t>
      </w:r>
      <w:r w:rsidRPr="00546276">
        <w:rPr>
          <w:rFonts w:ascii="Times New Roman" w:hAnsi="Times New Roman" w:cs="Times New Roman"/>
          <w:b/>
          <w:bCs/>
          <w:sz w:val="28"/>
          <w:szCs w:val="28"/>
        </w:rPr>
        <w:t xml:space="preserve"> </w:t>
      </w:r>
      <w:r w:rsidRPr="00546276">
        <w:rPr>
          <w:rFonts w:ascii="Times New Roman" w:hAnsi="Times New Roman" w:cs="Times New Roman"/>
          <w:sz w:val="28"/>
          <w:szCs w:val="28"/>
        </w:rPr>
        <w:t xml:space="preserve">от субъектов МСП в бюджет муниципального образования </w:t>
      </w:r>
      <w:r w:rsidRPr="00546276">
        <w:rPr>
          <w:rFonts w:ascii="Times New Roman" w:hAnsi="Times New Roman" w:cs="Times New Roman"/>
          <w:bCs/>
          <w:sz w:val="28"/>
          <w:szCs w:val="28"/>
        </w:rPr>
        <w:t>за 2020</w:t>
      </w:r>
      <w:r w:rsidRPr="00546276">
        <w:rPr>
          <w:rFonts w:ascii="Times New Roman" w:hAnsi="Times New Roman" w:cs="Times New Roman"/>
          <w:sz w:val="28"/>
          <w:szCs w:val="28"/>
        </w:rPr>
        <w:t xml:space="preserve"> год составила 59,7 </w:t>
      </w:r>
      <w:proofErr w:type="spellStart"/>
      <w:r w:rsidRPr="00546276">
        <w:rPr>
          <w:rFonts w:ascii="Times New Roman" w:hAnsi="Times New Roman" w:cs="Times New Roman"/>
          <w:sz w:val="28"/>
          <w:szCs w:val="28"/>
        </w:rPr>
        <w:t>млн</w:t>
      </w:r>
      <w:proofErr w:type="gramStart"/>
      <w:r w:rsidRPr="00546276">
        <w:rPr>
          <w:rFonts w:ascii="Times New Roman" w:hAnsi="Times New Roman" w:cs="Times New Roman"/>
          <w:sz w:val="28"/>
          <w:szCs w:val="28"/>
        </w:rPr>
        <w:t>.р</w:t>
      </w:r>
      <w:proofErr w:type="gramEnd"/>
      <w:r w:rsidRPr="00546276">
        <w:rPr>
          <w:rFonts w:ascii="Times New Roman" w:hAnsi="Times New Roman" w:cs="Times New Roman"/>
          <w:sz w:val="28"/>
          <w:szCs w:val="28"/>
        </w:rPr>
        <w:t>уб</w:t>
      </w:r>
      <w:proofErr w:type="spellEnd"/>
      <w:r w:rsidRPr="00546276">
        <w:rPr>
          <w:rFonts w:ascii="Times New Roman" w:hAnsi="Times New Roman" w:cs="Times New Roman"/>
          <w:sz w:val="28"/>
          <w:szCs w:val="28"/>
        </w:rPr>
        <w:t xml:space="preserve">. (рост к  уровню 2019 года составил 8,8%), что составляет </w:t>
      </w:r>
      <w:r w:rsidRPr="00971476">
        <w:rPr>
          <w:rFonts w:ascii="Times New Roman" w:hAnsi="Times New Roman" w:cs="Times New Roman"/>
          <w:sz w:val="28"/>
          <w:szCs w:val="28"/>
        </w:rPr>
        <w:t>17,1</w:t>
      </w:r>
      <w:r w:rsidRPr="00546276">
        <w:rPr>
          <w:rFonts w:ascii="Times New Roman" w:hAnsi="Times New Roman" w:cs="Times New Roman"/>
          <w:sz w:val="28"/>
          <w:szCs w:val="28"/>
        </w:rPr>
        <w:t>% в общей сумме налоговых доходов, поступивших в бюджет города.</w:t>
      </w:r>
    </w:p>
    <w:p w:rsidR="00D6361E" w:rsidRDefault="00D6361E" w:rsidP="00D63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w:t>
      </w:r>
      <w:r w:rsidRPr="00D83B6A">
        <w:rPr>
          <w:rFonts w:ascii="Times New Roman" w:hAnsi="Times New Roman" w:cs="Times New Roman"/>
          <w:sz w:val="28"/>
          <w:szCs w:val="28"/>
        </w:rPr>
        <w:t>выручки от реализации продукции, работ и услуг по городу</w:t>
      </w:r>
      <w:r>
        <w:rPr>
          <w:rFonts w:ascii="Times New Roman" w:hAnsi="Times New Roman" w:cs="Times New Roman"/>
          <w:sz w:val="28"/>
          <w:szCs w:val="28"/>
        </w:rPr>
        <w:t xml:space="preserve"> за 2020 год - 6,1% (</w:t>
      </w:r>
      <w:r w:rsidRPr="00971476">
        <w:rPr>
          <w:rFonts w:ascii="Times New Roman" w:hAnsi="Times New Roman" w:cs="Times New Roman"/>
          <w:sz w:val="28"/>
          <w:szCs w:val="28"/>
        </w:rPr>
        <w:t>2019г- 6,2%).</w:t>
      </w:r>
    </w:p>
    <w:p w:rsidR="00D6361E" w:rsidRDefault="00D6361E" w:rsidP="00D63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D83B6A">
        <w:rPr>
          <w:rFonts w:ascii="Times New Roman" w:hAnsi="Times New Roman" w:cs="Times New Roman"/>
          <w:sz w:val="28"/>
          <w:szCs w:val="28"/>
        </w:rPr>
        <w:t xml:space="preserve">бъем </w:t>
      </w:r>
      <w:r w:rsidRPr="00DC6204">
        <w:rPr>
          <w:rFonts w:ascii="Times New Roman" w:hAnsi="Times New Roman" w:cs="Times New Roman"/>
          <w:bCs/>
          <w:color w:val="000000"/>
          <w:sz w:val="28"/>
          <w:szCs w:val="28"/>
          <w:lang w:val="x-none"/>
        </w:rPr>
        <w:t>отгруженных товаров, выполненных работ и оказанных услуг собственного производства</w:t>
      </w:r>
      <w:r>
        <w:rPr>
          <w:rFonts w:ascii="Times New Roman" w:hAnsi="Times New Roman" w:cs="Times New Roman"/>
          <w:bCs/>
          <w:color w:val="000000"/>
          <w:sz w:val="28"/>
          <w:szCs w:val="28"/>
        </w:rPr>
        <w:t xml:space="preserve"> </w:t>
      </w:r>
      <w:r w:rsidRPr="00DC6204">
        <w:rPr>
          <w:rFonts w:ascii="Times New Roman" w:hAnsi="Times New Roman" w:cs="Times New Roman"/>
          <w:bCs/>
          <w:color w:val="000000"/>
          <w:sz w:val="28"/>
          <w:szCs w:val="28"/>
          <w:lang w:val="x-none"/>
        </w:rPr>
        <w:t xml:space="preserve">в общегородском объеме </w:t>
      </w:r>
      <w:r>
        <w:rPr>
          <w:rFonts w:ascii="Times New Roman" w:hAnsi="Times New Roman" w:cs="Times New Roman"/>
          <w:bCs/>
          <w:color w:val="000000"/>
          <w:sz w:val="28"/>
          <w:szCs w:val="28"/>
        </w:rPr>
        <w:t xml:space="preserve">- </w:t>
      </w:r>
      <w:r>
        <w:rPr>
          <w:rFonts w:ascii="Times New Roman" w:hAnsi="Times New Roman" w:cs="Times New Roman"/>
          <w:sz w:val="28"/>
          <w:szCs w:val="28"/>
        </w:rPr>
        <w:t>4,83 % (2019г – 4,96%)</w:t>
      </w:r>
    </w:p>
    <w:p w:rsidR="00DC6204" w:rsidRPr="00D6361E" w:rsidRDefault="00DC6204" w:rsidP="00D83B6A">
      <w:pPr>
        <w:spacing w:after="0" w:line="240" w:lineRule="auto"/>
        <w:ind w:firstLine="709"/>
        <w:jc w:val="both"/>
        <w:rPr>
          <w:rFonts w:ascii="Times New Roman" w:hAnsi="Times New Roman" w:cs="Times New Roman"/>
          <w:sz w:val="28"/>
          <w:szCs w:val="28"/>
        </w:rPr>
      </w:pPr>
    </w:p>
    <w:p w:rsidR="004E1D24" w:rsidRPr="00546276" w:rsidRDefault="004E1D24" w:rsidP="00546276">
      <w:pPr>
        <w:spacing w:after="0" w:line="240" w:lineRule="auto"/>
        <w:ind w:right="-6" w:firstLine="709"/>
        <w:jc w:val="both"/>
        <w:rPr>
          <w:rFonts w:ascii="Times New Roman" w:hAnsi="Times New Roman" w:cs="Times New Roman"/>
          <w:sz w:val="28"/>
          <w:szCs w:val="28"/>
        </w:rPr>
      </w:pPr>
      <w:r w:rsidRPr="00546276">
        <w:rPr>
          <w:rFonts w:ascii="Times New Roman" w:hAnsi="Times New Roman" w:cs="Times New Roman"/>
          <w:color w:val="000000"/>
          <w:sz w:val="28"/>
          <w:szCs w:val="28"/>
        </w:rPr>
        <w:t xml:space="preserve">На территории города действует муниципальная программа </w:t>
      </w:r>
      <w:r w:rsidRPr="00546276">
        <w:rPr>
          <w:rFonts w:ascii="Times New Roman" w:hAnsi="Times New Roman" w:cs="Times New Roman"/>
          <w:sz w:val="28"/>
          <w:szCs w:val="28"/>
        </w:rPr>
        <w:t xml:space="preserve">«Поддержка и развитие субъектов малого и среднего предпринимательства в муниципальном образовании «город Саянск» на 2020-2025 годы» (далее – Программа). </w:t>
      </w:r>
    </w:p>
    <w:p w:rsidR="004E1D24" w:rsidRPr="00546276" w:rsidRDefault="004E1D24" w:rsidP="00546276">
      <w:pPr>
        <w:pStyle w:val="a4"/>
        <w:spacing w:after="0" w:line="240" w:lineRule="auto"/>
        <w:ind w:left="0" w:right="-6" w:firstLine="709"/>
        <w:jc w:val="both"/>
        <w:rPr>
          <w:rFonts w:ascii="Times New Roman" w:hAnsi="Times New Roman" w:cs="Times New Roman"/>
          <w:sz w:val="28"/>
          <w:szCs w:val="28"/>
        </w:rPr>
      </w:pPr>
      <w:r w:rsidRPr="00546276">
        <w:rPr>
          <w:rFonts w:ascii="Times New Roman" w:hAnsi="Times New Roman" w:cs="Times New Roman"/>
          <w:sz w:val="28"/>
          <w:szCs w:val="28"/>
        </w:rPr>
        <w:t>В течение 2020 года в рамках реализации мероприятий муниципальной программы</w:t>
      </w:r>
      <w:r w:rsidR="00546276">
        <w:rPr>
          <w:rFonts w:ascii="Times New Roman" w:hAnsi="Times New Roman" w:cs="Times New Roman"/>
          <w:sz w:val="28"/>
          <w:szCs w:val="28"/>
        </w:rPr>
        <w:t xml:space="preserve"> проведены следующие мероприятия:</w:t>
      </w:r>
    </w:p>
    <w:p w:rsidR="004E1D24" w:rsidRPr="00546276" w:rsidRDefault="004E1D24" w:rsidP="00546276">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sz w:val="28"/>
          <w:szCs w:val="28"/>
        </w:rPr>
        <w:t xml:space="preserve">1. В </w:t>
      </w:r>
      <w:proofErr w:type="gramStart"/>
      <w:r w:rsidRPr="00546276">
        <w:rPr>
          <w:rFonts w:ascii="Times New Roman" w:hAnsi="Times New Roman" w:cs="Times New Roman"/>
          <w:sz w:val="28"/>
          <w:szCs w:val="28"/>
        </w:rPr>
        <w:t>целях</w:t>
      </w:r>
      <w:proofErr w:type="gramEnd"/>
      <w:r w:rsidRPr="00546276">
        <w:rPr>
          <w:rFonts w:ascii="Times New Roman" w:hAnsi="Times New Roman" w:cs="Times New Roman"/>
          <w:sz w:val="28"/>
          <w:szCs w:val="28"/>
        </w:rPr>
        <w:t xml:space="preserve"> полного и своевременного информирования субъектов МСП о действующих мерах поддержки проведены:</w:t>
      </w:r>
    </w:p>
    <w:p w:rsidR="004E1D24" w:rsidRPr="00546276" w:rsidRDefault="004E1D24" w:rsidP="00546276">
      <w:pPr>
        <w:spacing w:after="0" w:line="240" w:lineRule="auto"/>
        <w:ind w:firstLine="709"/>
        <w:jc w:val="both"/>
        <w:rPr>
          <w:rFonts w:ascii="Times New Roman" w:hAnsi="Times New Roman" w:cs="Times New Roman"/>
          <w:color w:val="000000"/>
          <w:sz w:val="28"/>
          <w:szCs w:val="28"/>
          <w:shd w:val="clear" w:color="auto" w:fill="FFFFFF"/>
        </w:rPr>
      </w:pPr>
      <w:r w:rsidRPr="00546276">
        <w:rPr>
          <w:rFonts w:ascii="Times New Roman" w:hAnsi="Times New Roman" w:cs="Times New Roman"/>
          <w:sz w:val="28"/>
          <w:szCs w:val="28"/>
        </w:rPr>
        <w:t xml:space="preserve">- онлайн-консультация со </w:t>
      </w:r>
      <w:r w:rsidRPr="00546276">
        <w:rPr>
          <w:rFonts w:ascii="Times New Roman" w:hAnsi="Times New Roman" w:cs="Times New Roman"/>
          <w:color w:val="000000"/>
          <w:sz w:val="28"/>
          <w:szCs w:val="28"/>
          <w:shd w:val="clear" w:color="auto" w:fill="FFFFFF"/>
        </w:rPr>
        <w:t xml:space="preserve">специалистами Фонда микрокредитования Иркутской области, регионального Фонда развития промышленности, Центра поддержки субъектов малого и среднего предпринимательства в Иркутской области, Иркутского областного гарантийного фонда, центра оказания услуг «Мой бизнес», приняли участие 12 субъектов МСП; </w:t>
      </w:r>
    </w:p>
    <w:p w:rsidR="004E1D24" w:rsidRPr="00546276" w:rsidRDefault="004E1D24" w:rsidP="00546276">
      <w:pPr>
        <w:spacing w:after="0" w:line="240" w:lineRule="auto"/>
        <w:ind w:firstLine="709"/>
        <w:jc w:val="both"/>
        <w:rPr>
          <w:rFonts w:ascii="Times New Roman" w:hAnsi="Times New Roman" w:cs="Times New Roman"/>
          <w:color w:val="000000"/>
          <w:sz w:val="28"/>
          <w:szCs w:val="28"/>
          <w:shd w:val="clear" w:color="auto" w:fill="FFFFFF"/>
        </w:rPr>
      </w:pPr>
      <w:r w:rsidRPr="00546276">
        <w:rPr>
          <w:rFonts w:ascii="Times New Roman" w:hAnsi="Times New Roman" w:cs="Times New Roman"/>
          <w:color w:val="000000"/>
          <w:sz w:val="28"/>
          <w:szCs w:val="28"/>
          <w:shd w:val="clear" w:color="auto" w:fill="FFFFFF"/>
        </w:rPr>
        <w:t>- «Предпринимательский час» с Корпорацией «МСП», АО «МСП Банк», региональной лизинговой компанией, приняли участие 8 субъектов МСП;</w:t>
      </w:r>
    </w:p>
    <w:p w:rsidR="004E1D24" w:rsidRPr="00546276" w:rsidRDefault="004E1D24" w:rsidP="00546276">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color w:val="000000"/>
          <w:sz w:val="28"/>
          <w:szCs w:val="28"/>
          <w:shd w:val="clear" w:color="auto" w:fill="FFFFFF"/>
        </w:rPr>
        <w:t xml:space="preserve">- </w:t>
      </w:r>
      <w:r w:rsidRPr="00546276">
        <w:rPr>
          <w:rFonts w:ascii="Times New Roman" w:hAnsi="Times New Roman" w:cs="Times New Roman"/>
          <w:sz w:val="28"/>
          <w:szCs w:val="28"/>
        </w:rPr>
        <w:t xml:space="preserve">организована и проведена встреча с сотрудником Фонда развития моногородов Русланом Шелгуновым. На встрече присутствовали 14 представителей субъектов МСП. Руслан Шелгунов провел консультации с каждым заинтересованным, посетил ряд </w:t>
      </w:r>
      <w:proofErr w:type="spellStart"/>
      <w:r w:rsidRPr="00546276">
        <w:rPr>
          <w:rFonts w:ascii="Times New Roman" w:hAnsi="Times New Roman" w:cs="Times New Roman"/>
          <w:sz w:val="28"/>
          <w:szCs w:val="28"/>
        </w:rPr>
        <w:t>инвестплощадок</w:t>
      </w:r>
      <w:proofErr w:type="spellEnd"/>
      <w:r w:rsidRPr="00546276">
        <w:rPr>
          <w:rFonts w:ascii="Times New Roman" w:hAnsi="Times New Roman" w:cs="Times New Roman"/>
          <w:sz w:val="28"/>
          <w:szCs w:val="28"/>
        </w:rPr>
        <w:t xml:space="preserve"> в Саянске;</w:t>
      </w:r>
    </w:p>
    <w:p w:rsidR="004E1D24" w:rsidRPr="00546276" w:rsidRDefault="004E1D24" w:rsidP="00546276">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sz w:val="28"/>
          <w:szCs w:val="28"/>
        </w:rPr>
        <w:t xml:space="preserve">- </w:t>
      </w:r>
      <w:r w:rsidR="00546276" w:rsidRPr="00546276">
        <w:rPr>
          <w:rFonts w:ascii="Times New Roman" w:hAnsi="Times New Roman" w:cs="Times New Roman"/>
          <w:sz w:val="28"/>
          <w:szCs w:val="28"/>
        </w:rPr>
        <w:t xml:space="preserve">на официальном сайте администрации города </w:t>
      </w:r>
      <w:r w:rsidRPr="00546276">
        <w:rPr>
          <w:rFonts w:ascii="Times New Roman" w:hAnsi="Times New Roman" w:cs="Times New Roman"/>
          <w:sz w:val="28"/>
          <w:szCs w:val="28"/>
        </w:rPr>
        <w:t xml:space="preserve">регулярно обновляется и дополняется раздел «Поддержка предпринимательства», был дополнительно создан раздел «Меры поддержки бизнеса для преодоления последствий </w:t>
      </w:r>
      <w:r w:rsidRPr="00546276">
        <w:rPr>
          <w:rFonts w:ascii="Times New Roman" w:hAnsi="Times New Roman" w:cs="Times New Roman"/>
          <w:sz w:val="28"/>
          <w:szCs w:val="28"/>
          <w:lang w:val="en-US"/>
        </w:rPr>
        <w:t>COVID</w:t>
      </w:r>
      <w:r w:rsidRPr="00546276">
        <w:rPr>
          <w:rFonts w:ascii="Times New Roman" w:hAnsi="Times New Roman" w:cs="Times New Roman"/>
          <w:sz w:val="28"/>
          <w:szCs w:val="28"/>
        </w:rPr>
        <w:t>-19». Кроме того информация размещается в социальных сетях «</w:t>
      </w:r>
      <w:r w:rsidRPr="00546276">
        <w:rPr>
          <w:rFonts w:ascii="Times New Roman" w:hAnsi="Times New Roman" w:cs="Times New Roman"/>
          <w:sz w:val="28"/>
          <w:szCs w:val="28"/>
          <w:lang w:val="en-US"/>
        </w:rPr>
        <w:t>Facebook</w:t>
      </w:r>
      <w:r w:rsidRPr="00546276">
        <w:rPr>
          <w:rFonts w:ascii="Times New Roman" w:hAnsi="Times New Roman" w:cs="Times New Roman"/>
          <w:sz w:val="28"/>
          <w:szCs w:val="28"/>
        </w:rPr>
        <w:t>», «</w:t>
      </w:r>
      <w:proofErr w:type="spellStart"/>
      <w:r w:rsidRPr="00546276">
        <w:rPr>
          <w:rFonts w:ascii="Times New Roman" w:hAnsi="Times New Roman" w:cs="Times New Roman"/>
          <w:sz w:val="28"/>
          <w:szCs w:val="28"/>
          <w:lang w:val="en-US"/>
        </w:rPr>
        <w:t>Instagram</w:t>
      </w:r>
      <w:proofErr w:type="spellEnd"/>
      <w:r w:rsidRPr="00546276">
        <w:rPr>
          <w:rFonts w:ascii="Times New Roman" w:hAnsi="Times New Roman" w:cs="Times New Roman"/>
          <w:sz w:val="28"/>
          <w:szCs w:val="28"/>
        </w:rPr>
        <w:t>», «</w:t>
      </w:r>
      <w:proofErr w:type="spellStart"/>
      <w:r w:rsidRPr="00546276">
        <w:rPr>
          <w:rFonts w:ascii="Times New Roman" w:hAnsi="Times New Roman" w:cs="Times New Roman"/>
          <w:sz w:val="28"/>
          <w:szCs w:val="28"/>
        </w:rPr>
        <w:t>ВКонтакте</w:t>
      </w:r>
      <w:proofErr w:type="spellEnd"/>
      <w:r w:rsidRPr="00546276">
        <w:rPr>
          <w:rFonts w:ascii="Times New Roman" w:hAnsi="Times New Roman" w:cs="Times New Roman"/>
          <w:sz w:val="28"/>
          <w:szCs w:val="28"/>
        </w:rPr>
        <w:t xml:space="preserve">», </w:t>
      </w:r>
      <w:proofErr w:type="spellStart"/>
      <w:r w:rsidRPr="00546276">
        <w:rPr>
          <w:rFonts w:ascii="Times New Roman" w:hAnsi="Times New Roman" w:cs="Times New Roman"/>
          <w:sz w:val="28"/>
          <w:szCs w:val="28"/>
        </w:rPr>
        <w:t>мессенджере</w:t>
      </w:r>
      <w:proofErr w:type="spellEnd"/>
      <w:r w:rsidRPr="00546276">
        <w:rPr>
          <w:rFonts w:ascii="Times New Roman" w:hAnsi="Times New Roman" w:cs="Times New Roman"/>
          <w:sz w:val="28"/>
          <w:szCs w:val="28"/>
        </w:rPr>
        <w:t xml:space="preserve"> «</w:t>
      </w:r>
      <w:proofErr w:type="spellStart"/>
      <w:r w:rsidRPr="00546276">
        <w:rPr>
          <w:rFonts w:ascii="Times New Roman" w:hAnsi="Times New Roman" w:cs="Times New Roman"/>
          <w:sz w:val="28"/>
          <w:szCs w:val="28"/>
          <w:lang w:val="en-US"/>
        </w:rPr>
        <w:t>Viber</w:t>
      </w:r>
      <w:proofErr w:type="spellEnd"/>
      <w:r w:rsidRPr="00546276">
        <w:rPr>
          <w:rFonts w:ascii="Times New Roman" w:hAnsi="Times New Roman" w:cs="Times New Roman"/>
          <w:sz w:val="28"/>
          <w:szCs w:val="28"/>
        </w:rPr>
        <w:t>», публикуется в газете «Саянские зори», рассылается на электронные адреса субъектов МСП, Совета предпринимателей города.</w:t>
      </w:r>
    </w:p>
    <w:p w:rsidR="004E1D24" w:rsidRPr="00546276" w:rsidRDefault="004E1D24" w:rsidP="00546276">
      <w:pPr>
        <w:pStyle w:val="a4"/>
        <w:spacing w:after="0" w:line="240" w:lineRule="auto"/>
        <w:ind w:left="0" w:firstLine="709"/>
        <w:jc w:val="both"/>
        <w:rPr>
          <w:rFonts w:ascii="Times New Roman" w:hAnsi="Times New Roman" w:cs="Times New Roman"/>
          <w:sz w:val="28"/>
          <w:szCs w:val="28"/>
        </w:rPr>
      </w:pPr>
      <w:r w:rsidRPr="00546276">
        <w:rPr>
          <w:rFonts w:ascii="Times New Roman" w:hAnsi="Times New Roman" w:cs="Times New Roman"/>
          <w:sz w:val="28"/>
          <w:szCs w:val="28"/>
        </w:rPr>
        <w:lastRenderedPageBreak/>
        <w:t>2. Для субъектов МСП Фондом «Центр поддержки субъектов малого и среднего предпринимательства в Иркутской области» проведены бесплатные обучающиеся семинары. В 2020 году на территории города было проведено 3 семинара, в которых приняло участие 29 человек;</w:t>
      </w:r>
    </w:p>
    <w:p w:rsidR="004E1D24" w:rsidRPr="00546276" w:rsidRDefault="004E1D24" w:rsidP="00546276">
      <w:pPr>
        <w:pStyle w:val="Default"/>
        <w:ind w:firstLine="709"/>
        <w:jc w:val="both"/>
        <w:rPr>
          <w:sz w:val="28"/>
          <w:szCs w:val="28"/>
        </w:rPr>
      </w:pPr>
      <w:r w:rsidRPr="00546276">
        <w:rPr>
          <w:sz w:val="28"/>
          <w:szCs w:val="28"/>
        </w:rPr>
        <w:t xml:space="preserve">3. Осуществлено сопровождение двух субъектов МСП при подготовке ими заявок </w:t>
      </w:r>
      <w:r w:rsidRPr="00546276">
        <w:rPr>
          <w:bCs/>
          <w:sz w:val="28"/>
          <w:szCs w:val="28"/>
          <w:lang w:val="x-none"/>
        </w:rPr>
        <w:t xml:space="preserve">на вхождение в ТОСЭР </w:t>
      </w:r>
      <w:r w:rsidR="00650D41">
        <w:rPr>
          <w:bCs/>
          <w:sz w:val="28"/>
          <w:szCs w:val="28"/>
        </w:rPr>
        <w:t>2</w:t>
      </w:r>
      <w:r w:rsidRPr="00546276">
        <w:rPr>
          <w:bCs/>
          <w:sz w:val="28"/>
          <w:szCs w:val="28"/>
          <w:lang w:val="x-none"/>
        </w:rPr>
        <w:t>Саянск</w:t>
      </w:r>
      <w:r w:rsidR="00650D41">
        <w:rPr>
          <w:bCs/>
          <w:sz w:val="28"/>
          <w:szCs w:val="28"/>
        </w:rPr>
        <w:t>»</w:t>
      </w:r>
      <w:r w:rsidRPr="00546276">
        <w:rPr>
          <w:sz w:val="28"/>
          <w:szCs w:val="28"/>
        </w:rPr>
        <w:t xml:space="preserve"> (ООО «Сова» </w:t>
      </w:r>
      <w:proofErr w:type="gramStart"/>
      <w:r w:rsidRPr="00546276">
        <w:rPr>
          <w:sz w:val="28"/>
          <w:szCs w:val="28"/>
        </w:rPr>
        <w:t>и ООО</w:t>
      </w:r>
      <w:proofErr w:type="gramEnd"/>
      <w:r w:rsidRPr="00546276">
        <w:rPr>
          <w:sz w:val="28"/>
          <w:szCs w:val="28"/>
        </w:rPr>
        <w:t xml:space="preserve"> «Саянская труба»). В </w:t>
      </w:r>
      <w:proofErr w:type="gramStart"/>
      <w:r w:rsidRPr="00546276">
        <w:rPr>
          <w:sz w:val="28"/>
          <w:szCs w:val="28"/>
        </w:rPr>
        <w:t>декабре</w:t>
      </w:r>
      <w:proofErr w:type="gramEnd"/>
      <w:r w:rsidRPr="00546276">
        <w:rPr>
          <w:sz w:val="28"/>
          <w:szCs w:val="28"/>
        </w:rPr>
        <w:t xml:space="preserve"> 2020 года ООО «Сова» подала документы в Министерство экономического развития Иркутской области;</w:t>
      </w:r>
    </w:p>
    <w:p w:rsidR="004E1D24" w:rsidRPr="00546276" w:rsidRDefault="004E1D24" w:rsidP="00546276">
      <w:pPr>
        <w:pStyle w:val="ConsPlusNormal"/>
        <w:ind w:firstLine="709"/>
        <w:jc w:val="both"/>
        <w:rPr>
          <w:rFonts w:ascii="Times New Roman" w:hAnsi="Times New Roman" w:cs="Times New Roman"/>
          <w:sz w:val="28"/>
          <w:szCs w:val="28"/>
        </w:rPr>
      </w:pPr>
      <w:r w:rsidRPr="00546276">
        <w:rPr>
          <w:rFonts w:ascii="Times New Roman" w:hAnsi="Times New Roman" w:cs="Times New Roman"/>
          <w:sz w:val="28"/>
          <w:szCs w:val="28"/>
        </w:rPr>
        <w:t>4. Оказывались информационно-консультационные услуги субъектам МСП по оформлению документов и получению кредитов из внебюджетных источников финансирования, помощь получили 8 человек;</w:t>
      </w:r>
    </w:p>
    <w:p w:rsidR="004E1D24" w:rsidRPr="00546276" w:rsidRDefault="004E1D24" w:rsidP="00546276">
      <w:pPr>
        <w:pStyle w:val="a4"/>
        <w:spacing w:after="0" w:line="240" w:lineRule="auto"/>
        <w:ind w:left="0" w:firstLine="709"/>
        <w:jc w:val="both"/>
        <w:rPr>
          <w:rFonts w:ascii="Times New Roman" w:hAnsi="Times New Roman" w:cs="Times New Roman"/>
          <w:sz w:val="28"/>
          <w:szCs w:val="28"/>
        </w:rPr>
      </w:pPr>
      <w:r w:rsidRPr="00546276">
        <w:rPr>
          <w:rFonts w:ascii="Times New Roman" w:hAnsi="Times New Roman" w:cs="Times New Roman"/>
          <w:sz w:val="28"/>
          <w:szCs w:val="28"/>
        </w:rPr>
        <w:t xml:space="preserve">5. В целях </w:t>
      </w:r>
      <w:proofErr w:type="gramStart"/>
      <w:r w:rsidRPr="00546276">
        <w:rPr>
          <w:rFonts w:ascii="Times New Roman" w:hAnsi="Times New Roman" w:cs="Times New Roman"/>
          <w:sz w:val="28"/>
          <w:szCs w:val="28"/>
        </w:rPr>
        <w:t>повышения эффективности взаимодействия органов местного самоуправления</w:t>
      </w:r>
      <w:proofErr w:type="gramEnd"/>
      <w:r w:rsidRPr="00546276">
        <w:rPr>
          <w:rFonts w:ascii="Times New Roman" w:hAnsi="Times New Roman" w:cs="Times New Roman"/>
          <w:sz w:val="28"/>
          <w:szCs w:val="28"/>
        </w:rPr>
        <w:t xml:space="preserve"> с субъектами МСП, разработки предложений и координации совместных действий по основным направлениям социально-экономического развития города регулярно проводятся встречи</w:t>
      </w:r>
      <w:r w:rsidR="00650D41">
        <w:rPr>
          <w:rFonts w:ascii="Times New Roman" w:hAnsi="Times New Roman" w:cs="Times New Roman"/>
          <w:sz w:val="28"/>
          <w:szCs w:val="28"/>
        </w:rPr>
        <w:t xml:space="preserve"> мэра города </w:t>
      </w:r>
      <w:r w:rsidRPr="00546276">
        <w:rPr>
          <w:rFonts w:ascii="Times New Roman" w:hAnsi="Times New Roman" w:cs="Times New Roman"/>
          <w:sz w:val="28"/>
          <w:szCs w:val="28"/>
        </w:rPr>
        <w:t xml:space="preserve"> с предпринимателями. В 2020 году было проведено четыре встречи.</w:t>
      </w:r>
    </w:p>
    <w:p w:rsidR="004E1D24" w:rsidRPr="00546276" w:rsidRDefault="004E1D24" w:rsidP="00546276">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sz w:val="28"/>
          <w:szCs w:val="28"/>
        </w:rPr>
        <w:t>6. Дополнился Перечень муниципального имущества свободного от прав третьих лиц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5 единиц, (4 единицы оборудования и земельный участок).</w:t>
      </w:r>
    </w:p>
    <w:p w:rsidR="004E1D24" w:rsidRPr="00546276" w:rsidRDefault="004E1D24" w:rsidP="00546276">
      <w:pPr>
        <w:spacing w:after="0" w:line="240" w:lineRule="auto"/>
        <w:ind w:firstLine="709"/>
        <w:jc w:val="both"/>
        <w:rPr>
          <w:rFonts w:ascii="Times New Roman" w:hAnsi="Times New Roman" w:cs="Times New Roman"/>
          <w:sz w:val="28"/>
          <w:szCs w:val="28"/>
        </w:rPr>
      </w:pPr>
    </w:p>
    <w:p w:rsidR="004E1D24" w:rsidRPr="00546276" w:rsidRDefault="00546276" w:rsidP="00546276">
      <w:pPr>
        <w:spacing w:after="0" w:line="240" w:lineRule="auto"/>
        <w:ind w:firstLine="709"/>
        <w:jc w:val="both"/>
        <w:rPr>
          <w:rFonts w:ascii="Times New Roman" w:hAnsi="Times New Roman" w:cs="Times New Roman"/>
          <w:sz w:val="28"/>
          <w:szCs w:val="28"/>
        </w:rPr>
      </w:pPr>
      <w:r w:rsidRPr="00546276">
        <w:rPr>
          <w:rFonts w:ascii="Times New Roman" w:hAnsi="Times New Roman" w:cs="Times New Roman"/>
          <w:sz w:val="28"/>
          <w:szCs w:val="28"/>
        </w:rPr>
        <w:t xml:space="preserve">Мероприятия Программы финансируются </w:t>
      </w:r>
      <w:r w:rsidR="002D0C96">
        <w:rPr>
          <w:rFonts w:ascii="Times New Roman" w:hAnsi="Times New Roman" w:cs="Times New Roman"/>
          <w:sz w:val="28"/>
          <w:szCs w:val="28"/>
        </w:rPr>
        <w:t xml:space="preserve">только из средств </w:t>
      </w:r>
      <w:r w:rsidRPr="00546276">
        <w:rPr>
          <w:rFonts w:ascii="Times New Roman" w:hAnsi="Times New Roman" w:cs="Times New Roman"/>
          <w:sz w:val="28"/>
          <w:szCs w:val="28"/>
        </w:rPr>
        <w:t xml:space="preserve"> местного бюджета, </w:t>
      </w:r>
      <w:r w:rsidR="004E1D24" w:rsidRPr="00546276">
        <w:rPr>
          <w:rFonts w:ascii="Times New Roman" w:hAnsi="Times New Roman" w:cs="Times New Roman"/>
          <w:sz w:val="28"/>
          <w:szCs w:val="28"/>
        </w:rPr>
        <w:t xml:space="preserve">в 2020 году </w:t>
      </w:r>
      <w:r w:rsidRPr="00546276">
        <w:rPr>
          <w:rFonts w:ascii="Times New Roman" w:hAnsi="Times New Roman" w:cs="Times New Roman"/>
          <w:sz w:val="28"/>
          <w:szCs w:val="28"/>
        </w:rPr>
        <w:t xml:space="preserve">из-за распространения новой </w:t>
      </w:r>
      <w:proofErr w:type="spellStart"/>
      <w:r w:rsidRPr="00546276">
        <w:rPr>
          <w:rFonts w:ascii="Times New Roman" w:hAnsi="Times New Roman" w:cs="Times New Roman"/>
          <w:sz w:val="28"/>
          <w:szCs w:val="28"/>
        </w:rPr>
        <w:t>коронавирусной</w:t>
      </w:r>
      <w:proofErr w:type="spellEnd"/>
      <w:r w:rsidRPr="00546276">
        <w:rPr>
          <w:rFonts w:ascii="Times New Roman" w:hAnsi="Times New Roman" w:cs="Times New Roman"/>
          <w:sz w:val="28"/>
          <w:szCs w:val="28"/>
        </w:rPr>
        <w:t xml:space="preserve"> инфекции и введенных ограничений конкурсы не проводились, финансирование </w:t>
      </w:r>
      <w:r w:rsidR="004E1D24" w:rsidRPr="00546276">
        <w:rPr>
          <w:rFonts w:ascii="Times New Roman" w:hAnsi="Times New Roman" w:cs="Times New Roman"/>
          <w:sz w:val="28"/>
          <w:szCs w:val="28"/>
        </w:rPr>
        <w:t>не осуществлялось. Планировалось выделение средств на проведение городских конкурсов «</w:t>
      </w:r>
      <w:proofErr w:type="gramStart"/>
      <w:r w:rsidR="004E1D24" w:rsidRPr="00546276">
        <w:rPr>
          <w:rFonts w:ascii="Times New Roman" w:hAnsi="Times New Roman" w:cs="Times New Roman"/>
          <w:sz w:val="28"/>
          <w:szCs w:val="28"/>
        </w:rPr>
        <w:t>Лучший</w:t>
      </w:r>
      <w:proofErr w:type="gramEnd"/>
      <w:r w:rsidR="004E1D24" w:rsidRPr="00546276">
        <w:rPr>
          <w:rFonts w:ascii="Times New Roman" w:hAnsi="Times New Roman" w:cs="Times New Roman"/>
          <w:sz w:val="28"/>
          <w:szCs w:val="28"/>
        </w:rPr>
        <w:t xml:space="preserve"> по профессии в сфере потребительского рынка» и </w:t>
      </w:r>
      <w:r w:rsidR="004E1D24" w:rsidRPr="00546276">
        <w:rPr>
          <w:rFonts w:ascii="Times New Roman" w:hAnsi="Times New Roman" w:cs="Times New Roman"/>
          <w:color w:val="000000"/>
          <w:sz w:val="28"/>
          <w:szCs w:val="28"/>
        </w:rPr>
        <w:t>«Лучшее новогоднее оформление предприятий потребительского рынка»</w:t>
      </w:r>
      <w:r w:rsidRPr="00546276">
        <w:rPr>
          <w:rFonts w:ascii="Times New Roman" w:hAnsi="Times New Roman" w:cs="Times New Roman"/>
          <w:color w:val="000000"/>
          <w:sz w:val="28"/>
          <w:szCs w:val="28"/>
        </w:rPr>
        <w:t>.</w:t>
      </w:r>
      <w:r w:rsidR="004E1D24" w:rsidRPr="00546276">
        <w:rPr>
          <w:rFonts w:ascii="Times New Roman" w:hAnsi="Times New Roman" w:cs="Times New Roman"/>
          <w:sz w:val="28"/>
          <w:szCs w:val="28"/>
        </w:rPr>
        <w:t xml:space="preserve"> </w:t>
      </w:r>
    </w:p>
    <w:p w:rsidR="004E1D24" w:rsidRPr="00546276" w:rsidRDefault="004E1D24" w:rsidP="00546276">
      <w:pPr>
        <w:keepLines/>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546276">
        <w:rPr>
          <w:rFonts w:ascii="Times New Roman" w:hAnsi="Times New Roman" w:cs="Times New Roman"/>
          <w:sz w:val="28"/>
          <w:szCs w:val="28"/>
        </w:rPr>
        <w:t xml:space="preserve">В 2021 году планируется выделение средств местного бюджета в размере 202 000 рублей на мероприятия по проведению городских конкурсов: </w:t>
      </w:r>
      <w:r w:rsidRPr="00546276">
        <w:rPr>
          <w:rFonts w:ascii="Times New Roman" w:hAnsi="Times New Roman" w:cs="Times New Roman"/>
          <w:color w:val="000000"/>
          <w:sz w:val="28"/>
          <w:szCs w:val="28"/>
        </w:rPr>
        <w:t>«Лучший предприниматель города Саянска», «Лучшее оформление фасадов и благоустройство прилегающих территорий», «Лучшее новогоднее оформление предприятий потребительского рынка».</w:t>
      </w:r>
    </w:p>
    <w:p w:rsidR="004E1D24" w:rsidRPr="00546276" w:rsidRDefault="004E1D24" w:rsidP="00546276">
      <w:pPr>
        <w:autoSpaceDE w:val="0"/>
        <w:autoSpaceDN w:val="0"/>
        <w:adjustRightInd w:val="0"/>
        <w:spacing w:after="0" w:line="240" w:lineRule="auto"/>
        <w:ind w:right="-6" w:firstLine="709"/>
        <w:jc w:val="both"/>
        <w:rPr>
          <w:rFonts w:ascii="Times New Roman" w:hAnsi="Times New Roman" w:cs="Times New Roman"/>
          <w:sz w:val="28"/>
          <w:szCs w:val="28"/>
        </w:rPr>
      </w:pPr>
      <w:r w:rsidRPr="00546276">
        <w:rPr>
          <w:rFonts w:ascii="Times New Roman" w:hAnsi="Times New Roman" w:cs="Times New Roman"/>
          <w:sz w:val="28"/>
          <w:szCs w:val="28"/>
        </w:rPr>
        <w:t>Администрацией города субъектам МСП в период пандемии (</w:t>
      </w:r>
      <w:r w:rsidRPr="00546276">
        <w:rPr>
          <w:rFonts w:ascii="Times New Roman" w:hAnsi="Times New Roman" w:cs="Times New Roman"/>
          <w:sz w:val="28"/>
          <w:szCs w:val="28"/>
          <w:lang w:val="en-US"/>
        </w:rPr>
        <w:t>COVID</w:t>
      </w:r>
      <w:r w:rsidRPr="00546276">
        <w:rPr>
          <w:rFonts w:ascii="Times New Roman" w:hAnsi="Times New Roman" w:cs="Times New Roman"/>
          <w:sz w:val="28"/>
          <w:szCs w:val="28"/>
        </w:rPr>
        <w:t xml:space="preserve">-19) были оказаны следующие меры поддержки: </w:t>
      </w:r>
    </w:p>
    <w:p w:rsidR="004E1D24" w:rsidRPr="00546276" w:rsidRDefault="004E1D24" w:rsidP="00546276">
      <w:pPr>
        <w:autoSpaceDE w:val="0"/>
        <w:autoSpaceDN w:val="0"/>
        <w:adjustRightInd w:val="0"/>
        <w:spacing w:after="0" w:line="240" w:lineRule="auto"/>
        <w:ind w:right="-6" w:firstLine="709"/>
        <w:jc w:val="both"/>
        <w:rPr>
          <w:rFonts w:ascii="Times New Roman" w:hAnsi="Times New Roman" w:cs="Times New Roman"/>
          <w:bCs/>
          <w:color w:val="000000"/>
          <w:sz w:val="28"/>
          <w:szCs w:val="28"/>
        </w:rPr>
      </w:pPr>
      <w:r w:rsidRPr="00546276">
        <w:rPr>
          <w:rFonts w:ascii="Times New Roman" w:hAnsi="Times New Roman" w:cs="Times New Roman"/>
          <w:bCs/>
          <w:color w:val="000000"/>
          <w:sz w:val="28"/>
          <w:szCs w:val="28"/>
        </w:rPr>
        <w:t xml:space="preserve">- в соответствии с решением Думы городского округа муниципального образования «город Саянск» от 26 марта 2020 года № 71-67-20-10 «Об отдельных мерах поддержки субъектов малого предпринимательства на территории муниципального образования «город Саянск» освобождены от оплаты арендных платежей арендаторы муниципального имущества сроком на шесть месяцев (с апреля по сентябрь 2020 года). Данная мера поддержки предоставлялась субъектам МСП осуществляющим следующие виды деятельности: услуги общественного питания, парикмахерские услуги, </w:t>
      </w:r>
      <w:r w:rsidRPr="00546276">
        <w:rPr>
          <w:rFonts w:ascii="Times New Roman" w:hAnsi="Times New Roman" w:cs="Times New Roman"/>
          <w:bCs/>
          <w:color w:val="000000"/>
          <w:sz w:val="28"/>
          <w:szCs w:val="28"/>
        </w:rPr>
        <w:lastRenderedPageBreak/>
        <w:t xml:space="preserve">услуги по ремонту и пошиву одежды, ремонту обуви, ремонту часов и деятельность в области спорта (деятельность </w:t>
      </w:r>
      <w:proofErr w:type="gramStart"/>
      <w:r w:rsidRPr="00546276">
        <w:rPr>
          <w:rFonts w:ascii="Times New Roman" w:hAnsi="Times New Roman" w:cs="Times New Roman"/>
          <w:bCs/>
          <w:color w:val="000000"/>
          <w:sz w:val="28"/>
          <w:szCs w:val="28"/>
        </w:rPr>
        <w:t>фитнес-центров</w:t>
      </w:r>
      <w:proofErr w:type="gramEnd"/>
      <w:r w:rsidRPr="00546276">
        <w:rPr>
          <w:rFonts w:ascii="Times New Roman" w:hAnsi="Times New Roman" w:cs="Times New Roman"/>
          <w:bCs/>
          <w:color w:val="000000"/>
          <w:sz w:val="28"/>
          <w:szCs w:val="28"/>
        </w:rPr>
        <w:t>). Поддержка оказана 17 субъектам МСП, сумма поддержки составила 1 895 885 рублей 70 копеек;</w:t>
      </w:r>
    </w:p>
    <w:p w:rsidR="004E1D24" w:rsidRPr="00546276" w:rsidRDefault="004E1D24" w:rsidP="00546276">
      <w:pPr>
        <w:autoSpaceDE w:val="0"/>
        <w:autoSpaceDN w:val="0"/>
        <w:adjustRightInd w:val="0"/>
        <w:spacing w:after="0" w:line="240" w:lineRule="auto"/>
        <w:ind w:right="-6" w:firstLine="709"/>
        <w:jc w:val="both"/>
        <w:rPr>
          <w:rFonts w:ascii="Times New Roman" w:hAnsi="Times New Roman" w:cs="Times New Roman"/>
          <w:sz w:val="28"/>
          <w:szCs w:val="28"/>
        </w:rPr>
      </w:pPr>
      <w:r w:rsidRPr="00546276">
        <w:rPr>
          <w:rFonts w:ascii="Times New Roman" w:hAnsi="Times New Roman" w:cs="Times New Roman"/>
          <w:sz w:val="28"/>
          <w:szCs w:val="28"/>
        </w:rPr>
        <w:t>- снижение арендной платы за пользование муниципальным имуществом сроком на два месяца субъекту МСП, сумма оказанной поддержки составила 85 542 рубля 92 копейки;</w:t>
      </w:r>
    </w:p>
    <w:p w:rsidR="004E1D24" w:rsidRPr="00546276" w:rsidRDefault="004E1D24" w:rsidP="00546276">
      <w:pPr>
        <w:autoSpaceDE w:val="0"/>
        <w:autoSpaceDN w:val="0"/>
        <w:adjustRightInd w:val="0"/>
        <w:spacing w:after="0" w:line="240" w:lineRule="auto"/>
        <w:ind w:right="-6" w:firstLine="709"/>
        <w:jc w:val="both"/>
        <w:rPr>
          <w:rFonts w:ascii="Times New Roman" w:hAnsi="Times New Roman" w:cs="Times New Roman"/>
          <w:sz w:val="28"/>
          <w:szCs w:val="28"/>
        </w:rPr>
      </w:pPr>
      <w:r w:rsidRPr="00546276">
        <w:rPr>
          <w:rFonts w:ascii="Times New Roman" w:hAnsi="Times New Roman" w:cs="Times New Roman"/>
          <w:sz w:val="28"/>
          <w:szCs w:val="28"/>
        </w:rPr>
        <w:t>- отсрочка по оплате за аренду муниципального имущества предоставлялась двум субъектам МСП. Срок отсрочки платежей составил от двух до шести месяцев в зависимости от вида деятельности предпринимателя.</w:t>
      </w:r>
    </w:p>
    <w:p w:rsidR="004E1D24" w:rsidRPr="00546276" w:rsidRDefault="004E1D24" w:rsidP="00546276">
      <w:pPr>
        <w:autoSpaceDE w:val="0"/>
        <w:autoSpaceDN w:val="0"/>
        <w:adjustRightInd w:val="0"/>
        <w:spacing w:after="0" w:line="240" w:lineRule="auto"/>
        <w:ind w:right="-6" w:firstLine="709"/>
        <w:jc w:val="both"/>
        <w:rPr>
          <w:rFonts w:ascii="Times New Roman" w:hAnsi="Times New Roman" w:cs="Times New Roman"/>
          <w:sz w:val="28"/>
          <w:szCs w:val="28"/>
        </w:rPr>
      </w:pPr>
      <w:r w:rsidRPr="00546276">
        <w:rPr>
          <w:rFonts w:ascii="Times New Roman" w:hAnsi="Times New Roman" w:cs="Times New Roman"/>
          <w:sz w:val="28"/>
          <w:szCs w:val="28"/>
        </w:rPr>
        <w:t>Сумма выпадающих доходов местного бюджета за 2020 год составила от 1 981 428 рублей 62 копейки.</w:t>
      </w:r>
    </w:p>
    <w:p w:rsidR="00BF405C" w:rsidRDefault="00BF405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650D41" w:rsidRDefault="00650D41" w:rsidP="00226E62">
      <w:pPr>
        <w:pStyle w:val="ConsPlusNormal"/>
        <w:ind w:firstLine="709"/>
        <w:jc w:val="both"/>
        <w:outlineLvl w:val="2"/>
        <w:rPr>
          <w:rFonts w:ascii="Times New Roman" w:hAnsi="Times New Roman" w:cs="Times New Roman"/>
          <w:sz w:val="28"/>
          <w:szCs w:val="28"/>
        </w:rPr>
      </w:pPr>
    </w:p>
    <w:p w:rsidR="00650D41" w:rsidRDefault="00650D41" w:rsidP="00226E62">
      <w:pPr>
        <w:pStyle w:val="ConsPlusNormal"/>
        <w:ind w:firstLine="709"/>
        <w:jc w:val="both"/>
        <w:outlineLvl w:val="2"/>
        <w:rPr>
          <w:rFonts w:ascii="Times New Roman" w:hAnsi="Times New Roman" w:cs="Times New Roman"/>
          <w:sz w:val="28"/>
          <w:szCs w:val="28"/>
        </w:rPr>
      </w:pPr>
    </w:p>
    <w:p w:rsidR="005009DB" w:rsidRDefault="005009DB" w:rsidP="00226E62">
      <w:pPr>
        <w:pStyle w:val="ConsPlusNormal"/>
        <w:ind w:firstLine="709"/>
        <w:jc w:val="both"/>
        <w:outlineLvl w:val="2"/>
        <w:rPr>
          <w:rFonts w:ascii="Times New Roman" w:hAnsi="Times New Roman" w:cs="Times New Roman"/>
          <w:sz w:val="28"/>
          <w:szCs w:val="28"/>
        </w:rPr>
      </w:pPr>
    </w:p>
    <w:p w:rsidR="005009DB" w:rsidRDefault="005009DB" w:rsidP="00226E62">
      <w:pPr>
        <w:pStyle w:val="ConsPlusNormal"/>
        <w:ind w:firstLine="709"/>
        <w:jc w:val="both"/>
        <w:outlineLvl w:val="2"/>
        <w:rPr>
          <w:rFonts w:ascii="Times New Roman" w:hAnsi="Times New Roman" w:cs="Times New Roman"/>
          <w:sz w:val="28"/>
          <w:szCs w:val="28"/>
        </w:rPr>
      </w:pPr>
    </w:p>
    <w:p w:rsidR="00D6361E" w:rsidRDefault="00D6361E" w:rsidP="00226E62">
      <w:pPr>
        <w:pStyle w:val="ConsPlusNormal"/>
        <w:ind w:firstLine="709"/>
        <w:jc w:val="both"/>
        <w:outlineLvl w:val="2"/>
        <w:rPr>
          <w:rFonts w:ascii="Times New Roman" w:hAnsi="Times New Roman" w:cs="Times New Roman"/>
          <w:sz w:val="28"/>
          <w:szCs w:val="28"/>
        </w:rPr>
      </w:pPr>
    </w:p>
    <w:p w:rsidR="00D6361E" w:rsidRDefault="00D6361E" w:rsidP="00226E62">
      <w:pPr>
        <w:pStyle w:val="ConsPlusNormal"/>
        <w:ind w:firstLine="709"/>
        <w:jc w:val="both"/>
        <w:outlineLvl w:val="2"/>
        <w:rPr>
          <w:rFonts w:ascii="Times New Roman" w:hAnsi="Times New Roman" w:cs="Times New Roman"/>
          <w:sz w:val="28"/>
          <w:szCs w:val="28"/>
        </w:rPr>
      </w:pPr>
    </w:p>
    <w:p w:rsidR="00D6361E" w:rsidRDefault="00D6361E" w:rsidP="00226E62">
      <w:pPr>
        <w:pStyle w:val="ConsPlusNormal"/>
        <w:ind w:firstLine="709"/>
        <w:jc w:val="both"/>
        <w:outlineLvl w:val="2"/>
        <w:rPr>
          <w:rFonts w:ascii="Times New Roman" w:hAnsi="Times New Roman" w:cs="Times New Roman"/>
          <w:sz w:val="28"/>
          <w:szCs w:val="28"/>
        </w:rPr>
      </w:pPr>
    </w:p>
    <w:p w:rsidR="00EA7C2F" w:rsidRDefault="00EA7C2F" w:rsidP="00226E62">
      <w:pPr>
        <w:pStyle w:val="ConsPlusNormal"/>
        <w:ind w:firstLine="709"/>
        <w:jc w:val="both"/>
        <w:outlineLvl w:val="2"/>
        <w:rPr>
          <w:rFonts w:ascii="Times New Roman" w:hAnsi="Times New Roman" w:cs="Times New Roman"/>
          <w:sz w:val="28"/>
          <w:szCs w:val="28"/>
        </w:rPr>
      </w:pPr>
    </w:p>
    <w:p w:rsidR="00EA7C2F" w:rsidRDefault="00EA7C2F" w:rsidP="00226E62">
      <w:pPr>
        <w:pStyle w:val="ConsPlusNormal"/>
        <w:ind w:firstLine="709"/>
        <w:jc w:val="both"/>
        <w:outlineLvl w:val="2"/>
        <w:rPr>
          <w:rFonts w:ascii="Times New Roman" w:hAnsi="Times New Roman" w:cs="Times New Roman"/>
          <w:sz w:val="28"/>
          <w:szCs w:val="28"/>
        </w:rPr>
      </w:pPr>
    </w:p>
    <w:p w:rsidR="00EA7C2F" w:rsidRDefault="00EA7C2F" w:rsidP="00226E62">
      <w:pPr>
        <w:pStyle w:val="ConsPlusNormal"/>
        <w:ind w:firstLine="709"/>
        <w:jc w:val="both"/>
        <w:outlineLvl w:val="2"/>
        <w:rPr>
          <w:rFonts w:ascii="Times New Roman" w:hAnsi="Times New Roman" w:cs="Times New Roman"/>
          <w:sz w:val="28"/>
          <w:szCs w:val="28"/>
        </w:rPr>
      </w:pPr>
    </w:p>
    <w:p w:rsidR="00EA7C2F" w:rsidRDefault="00EA7C2F" w:rsidP="00226E62">
      <w:pPr>
        <w:pStyle w:val="ConsPlusNormal"/>
        <w:ind w:firstLine="709"/>
        <w:jc w:val="both"/>
        <w:outlineLvl w:val="2"/>
        <w:rPr>
          <w:rFonts w:ascii="Times New Roman" w:hAnsi="Times New Roman" w:cs="Times New Roman"/>
          <w:sz w:val="28"/>
          <w:szCs w:val="28"/>
        </w:rPr>
      </w:pPr>
    </w:p>
    <w:p w:rsidR="00DC1C7C" w:rsidRDefault="00DC1C7C" w:rsidP="00226E62">
      <w:pPr>
        <w:pStyle w:val="ConsPlusNormal"/>
        <w:ind w:firstLine="709"/>
        <w:jc w:val="both"/>
        <w:outlineLvl w:val="2"/>
        <w:rPr>
          <w:rFonts w:ascii="Times New Roman" w:hAnsi="Times New Roman" w:cs="Times New Roman"/>
          <w:sz w:val="28"/>
          <w:szCs w:val="28"/>
        </w:rPr>
      </w:pPr>
    </w:p>
    <w:p w:rsidR="005435F3" w:rsidRDefault="005435F3" w:rsidP="005435F3">
      <w:pPr>
        <w:pStyle w:val="ConsPlusNormal"/>
        <w:jc w:val="center"/>
        <w:outlineLvl w:val="2"/>
        <w:rPr>
          <w:rFonts w:ascii="Times New Roman" w:hAnsi="Times New Roman" w:cs="Times New Roman"/>
          <w:sz w:val="28"/>
          <w:szCs w:val="28"/>
        </w:rPr>
      </w:pPr>
      <w:r>
        <w:rPr>
          <w:rFonts w:ascii="Times New Roman" w:eastAsia="Calibri" w:hAnsi="Times New Roman" w:cs="Times New Roman"/>
          <w:sz w:val="28"/>
          <w:szCs w:val="28"/>
        </w:rPr>
        <w:lastRenderedPageBreak/>
        <w:t>Анализ показателей результативности Программы, достигнутых за 20</w:t>
      </w:r>
      <w:r w:rsidR="00DC1C7C">
        <w:rPr>
          <w:rFonts w:ascii="Times New Roman" w:eastAsia="Calibri" w:hAnsi="Times New Roman" w:cs="Times New Roman"/>
          <w:sz w:val="28"/>
          <w:szCs w:val="28"/>
        </w:rPr>
        <w:t>20</w:t>
      </w:r>
      <w:r>
        <w:rPr>
          <w:rFonts w:ascii="Times New Roman" w:eastAsia="Calibri" w:hAnsi="Times New Roman" w:cs="Times New Roman"/>
          <w:sz w:val="28"/>
          <w:szCs w:val="28"/>
        </w:rPr>
        <w:t xml:space="preserve"> год</w:t>
      </w:r>
    </w:p>
    <w:p w:rsidR="005435F3" w:rsidRDefault="005435F3" w:rsidP="00226E62">
      <w:pPr>
        <w:pStyle w:val="ConsPlusNormal"/>
        <w:ind w:firstLine="709"/>
        <w:jc w:val="right"/>
        <w:outlineLvl w:val="2"/>
        <w:rPr>
          <w:rFonts w:ascii="Times New Roman" w:hAnsi="Times New Roman" w:cs="Times New Roman"/>
          <w:sz w:val="28"/>
          <w:szCs w:val="28"/>
        </w:rPr>
      </w:pPr>
    </w:p>
    <w:p w:rsidR="00226E62" w:rsidRDefault="00226E62" w:rsidP="00226E62">
      <w:pPr>
        <w:pStyle w:val="ConsPlusNormal"/>
        <w:ind w:firstLine="709"/>
        <w:jc w:val="right"/>
        <w:outlineLvl w:val="2"/>
        <w:rPr>
          <w:rFonts w:ascii="Times New Roman" w:hAnsi="Times New Roman" w:cs="Times New Roman"/>
          <w:sz w:val="28"/>
          <w:szCs w:val="28"/>
        </w:rPr>
      </w:pPr>
      <w:r>
        <w:rPr>
          <w:rFonts w:ascii="Times New Roman" w:hAnsi="Times New Roman" w:cs="Times New Roman"/>
          <w:sz w:val="28"/>
          <w:szCs w:val="28"/>
        </w:rPr>
        <w:t>Таблица № 1</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916"/>
        <w:gridCol w:w="709"/>
        <w:gridCol w:w="1393"/>
        <w:gridCol w:w="1442"/>
        <w:gridCol w:w="850"/>
        <w:gridCol w:w="851"/>
        <w:gridCol w:w="2410"/>
      </w:tblGrid>
      <w:tr w:rsidR="00226E62" w:rsidRPr="008C5137" w:rsidTr="0030783C">
        <w:tc>
          <w:tcPr>
            <w:tcW w:w="628" w:type="dxa"/>
            <w:vMerge w:val="restart"/>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r w:rsidRPr="001669BE">
              <w:rPr>
                <w:rFonts w:ascii="Times New Roman" w:hAnsi="Times New Roman" w:cs="Times New Roman"/>
                <w:color w:val="000000"/>
                <w:sz w:val="24"/>
                <w:szCs w:val="24"/>
              </w:rPr>
              <w:t xml:space="preserve">№ </w:t>
            </w:r>
            <w:proofErr w:type="gramStart"/>
            <w:r w:rsidRPr="001669BE">
              <w:rPr>
                <w:rFonts w:ascii="Times New Roman" w:hAnsi="Times New Roman" w:cs="Times New Roman"/>
                <w:color w:val="000000"/>
                <w:sz w:val="24"/>
                <w:szCs w:val="24"/>
              </w:rPr>
              <w:t>п</w:t>
            </w:r>
            <w:proofErr w:type="gramEnd"/>
            <w:r w:rsidRPr="001669BE">
              <w:rPr>
                <w:rFonts w:ascii="Times New Roman" w:hAnsi="Times New Roman" w:cs="Times New Roman"/>
                <w:color w:val="000000"/>
                <w:sz w:val="24"/>
                <w:szCs w:val="24"/>
              </w:rPr>
              <w:t>/п</w:t>
            </w:r>
          </w:p>
        </w:tc>
        <w:tc>
          <w:tcPr>
            <w:tcW w:w="2916" w:type="dxa"/>
            <w:vMerge w:val="restart"/>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r w:rsidRPr="001669BE">
              <w:rPr>
                <w:rFonts w:ascii="Times New Roman" w:hAnsi="Times New Roman" w:cs="Times New Roman"/>
                <w:color w:val="000000"/>
                <w:sz w:val="24"/>
                <w:szCs w:val="24"/>
              </w:rPr>
              <w:t>Наименование целевого показателя</w:t>
            </w:r>
          </w:p>
        </w:tc>
        <w:tc>
          <w:tcPr>
            <w:tcW w:w="709" w:type="dxa"/>
            <w:vMerge w:val="restart"/>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r w:rsidRPr="001669BE">
              <w:rPr>
                <w:rFonts w:ascii="Times New Roman" w:hAnsi="Times New Roman" w:cs="Times New Roman"/>
                <w:color w:val="000000"/>
                <w:sz w:val="24"/>
                <w:szCs w:val="24"/>
              </w:rPr>
              <w:t>Ед. изм.</w:t>
            </w:r>
          </w:p>
        </w:tc>
        <w:tc>
          <w:tcPr>
            <w:tcW w:w="1393" w:type="dxa"/>
            <w:vMerge w:val="restart"/>
            <w:shd w:val="clear" w:color="auto" w:fill="auto"/>
          </w:tcPr>
          <w:p w:rsidR="00226E62" w:rsidRPr="005068D3" w:rsidRDefault="00226E62" w:rsidP="00D42885">
            <w:pPr>
              <w:tabs>
                <w:tab w:val="left" w:pos="0"/>
              </w:tabs>
              <w:jc w:val="center"/>
              <w:rPr>
                <w:rFonts w:ascii="Times New Roman" w:hAnsi="Times New Roman" w:cs="Times New Roman"/>
                <w:color w:val="000000"/>
              </w:rPr>
            </w:pPr>
            <w:r w:rsidRPr="005068D3">
              <w:rPr>
                <w:rFonts w:ascii="Times New Roman" w:hAnsi="Times New Roman" w:cs="Times New Roman"/>
                <w:color w:val="000000"/>
              </w:rPr>
              <w:t>Плановое значение показателя</w:t>
            </w:r>
          </w:p>
        </w:tc>
        <w:tc>
          <w:tcPr>
            <w:tcW w:w="1442" w:type="dxa"/>
            <w:vMerge w:val="restart"/>
          </w:tcPr>
          <w:p w:rsidR="00226E62" w:rsidRPr="005068D3" w:rsidRDefault="00226E62" w:rsidP="00D42885">
            <w:pPr>
              <w:tabs>
                <w:tab w:val="left" w:pos="0"/>
              </w:tabs>
              <w:jc w:val="center"/>
              <w:rPr>
                <w:rFonts w:ascii="Times New Roman" w:hAnsi="Times New Roman" w:cs="Times New Roman"/>
                <w:color w:val="000000"/>
              </w:rPr>
            </w:pPr>
            <w:r w:rsidRPr="005068D3">
              <w:rPr>
                <w:rFonts w:ascii="Times New Roman" w:hAnsi="Times New Roman" w:cs="Times New Roman"/>
                <w:color w:val="000000"/>
              </w:rPr>
              <w:t>Фактическое значение показателя</w:t>
            </w:r>
          </w:p>
        </w:tc>
        <w:tc>
          <w:tcPr>
            <w:tcW w:w="1701" w:type="dxa"/>
            <w:gridSpan w:val="2"/>
          </w:tcPr>
          <w:p w:rsidR="00226E62" w:rsidRPr="005068D3" w:rsidRDefault="00226E62" w:rsidP="00D42885">
            <w:pPr>
              <w:tabs>
                <w:tab w:val="left" w:pos="0"/>
              </w:tabs>
              <w:jc w:val="center"/>
              <w:rPr>
                <w:rFonts w:ascii="Times New Roman" w:hAnsi="Times New Roman" w:cs="Times New Roman"/>
                <w:color w:val="000000"/>
              </w:rPr>
            </w:pPr>
            <w:r w:rsidRPr="005068D3">
              <w:rPr>
                <w:rFonts w:ascii="Times New Roman" w:hAnsi="Times New Roman" w:cs="Times New Roman"/>
                <w:color w:val="000000"/>
              </w:rPr>
              <w:t xml:space="preserve">Отклонение фактического значения </w:t>
            </w:r>
            <w:proofErr w:type="gramStart"/>
            <w:r w:rsidRPr="005068D3">
              <w:rPr>
                <w:rFonts w:ascii="Times New Roman" w:hAnsi="Times New Roman" w:cs="Times New Roman"/>
                <w:color w:val="000000"/>
              </w:rPr>
              <w:t>от</w:t>
            </w:r>
            <w:proofErr w:type="gramEnd"/>
            <w:r w:rsidRPr="005068D3">
              <w:rPr>
                <w:rFonts w:ascii="Times New Roman" w:hAnsi="Times New Roman" w:cs="Times New Roman"/>
                <w:color w:val="000000"/>
              </w:rPr>
              <w:t xml:space="preserve"> планового</w:t>
            </w:r>
          </w:p>
        </w:tc>
        <w:tc>
          <w:tcPr>
            <w:tcW w:w="2410" w:type="dxa"/>
            <w:vMerge w:val="restart"/>
          </w:tcPr>
          <w:p w:rsidR="00226E62" w:rsidRPr="005068D3" w:rsidRDefault="00226E62" w:rsidP="00D42885">
            <w:pPr>
              <w:tabs>
                <w:tab w:val="left" w:pos="0"/>
              </w:tabs>
              <w:jc w:val="center"/>
              <w:rPr>
                <w:rFonts w:ascii="Times New Roman" w:hAnsi="Times New Roman" w:cs="Times New Roman"/>
                <w:color w:val="000000"/>
              </w:rPr>
            </w:pPr>
            <w:r w:rsidRPr="005068D3">
              <w:rPr>
                <w:rFonts w:ascii="Times New Roman" w:hAnsi="Times New Roman" w:cs="Times New Roman"/>
                <w:color w:val="000000"/>
              </w:rPr>
              <w:t>Обоснование причин отклонения</w:t>
            </w:r>
          </w:p>
        </w:tc>
      </w:tr>
      <w:tr w:rsidR="00226E62" w:rsidRPr="008C5137" w:rsidTr="0030783C">
        <w:trPr>
          <w:trHeight w:val="421"/>
        </w:trPr>
        <w:tc>
          <w:tcPr>
            <w:tcW w:w="628" w:type="dxa"/>
            <w:vMerge/>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p>
        </w:tc>
        <w:tc>
          <w:tcPr>
            <w:tcW w:w="2916" w:type="dxa"/>
            <w:vMerge/>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p>
        </w:tc>
        <w:tc>
          <w:tcPr>
            <w:tcW w:w="709" w:type="dxa"/>
            <w:vMerge/>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p>
        </w:tc>
        <w:tc>
          <w:tcPr>
            <w:tcW w:w="1393" w:type="dxa"/>
            <w:vMerge/>
            <w:shd w:val="clear" w:color="auto" w:fill="auto"/>
          </w:tcPr>
          <w:p w:rsidR="00226E62" w:rsidRPr="001669BE" w:rsidRDefault="00226E62" w:rsidP="00D42885">
            <w:pPr>
              <w:tabs>
                <w:tab w:val="left" w:pos="0"/>
              </w:tabs>
              <w:jc w:val="center"/>
              <w:rPr>
                <w:rFonts w:ascii="Times New Roman" w:hAnsi="Times New Roman" w:cs="Times New Roman"/>
                <w:color w:val="000000"/>
                <w:sz w:val="24"/>
                <w:szCs w:val="24"/>
              </w:rPr>
            </w:pPr>
          </w:p>
        </w:tc>
        <w:tc>
          <w:tcPr>
            <w:tcW w:w="1442" w:type="dxa"/>
            <w:vMerge/>
          </w:tcPr>
          <w:p w:rsidR="00226E62" w:rsidRDefault="00226E62" w:rsidP="00D42885">
            <w:pPr>
              <w:tabs>
                <w:tab w:val="left" w:pos="0"/>
              </w:tabs>
              <w:jc w:val="center"/>
              <w:rPr>
                <w:rFonts w:ascii="Times New Roman" w:hAnsi="Times New Roman" w:cs="Times New Roman"/>
                <w:color w:val="000000"/>
                <w:sz w:val="24"/>
                <w:szCs w:val="24"/>
              </w:rPr>
            </w:pPr>
          </w:p>
        </w:tc>
        <w:tc>
          <w:tcPr>
            <w:tcW w:w="850" w:type="dxa"/>
          </w:tcPr>
          <w:p w:rsidR="00226E62" w:rsidRDefault="00226E62" w:rsidP="00D42885">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tcPr>
          <w:p w:rsidR="00226E62" w:rsidRDefault="00226E62" w:rsidP="00D42885">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10" w:type="dxa"/>
            <w:vMerge/>
          </w:tcPr>
          <w:p w:rsidR="00226E62" w:rsidRDefault="00226E62" w:rsidP="00D42885">
            <w:pPr>
              <w:tabs>
                <w:tab w:val="left" w:pos="0"/>
              </w:tabs>
              <w:jc w:val="center"/>
              <w:rPr>
                <w:rFonts w:ascii="Times New Roman" w:hAnsi="Times New Roman" w:cs="Times New Roman"/>
                <w:color w:val="000000"/>
                <w:sz w:val="24"/>
                <w:szCs w:val="24"/>
              </w:rPr>
            </w:pPr>
          </w:p>
        </w:tc>
      </w:tr>
      <w:tr w:rsidR="00DC1C7C" w:rsidRPr="008C5137" w:rsidTr="0030783C">
        <w:trPr>
          <w:trHeight w:val="2085"/>
        </w:trPr>
        <w:tc>
          <w:tcPr>
            <w:tcW w:w="628" w:type="dxa"/>
            <w:shd w:val="clear" w:color="auto" w:fill="auto"/>
            <w:vAlign w:val="center"/>
          </w:tcPr>
          <w:p w:rsidR="00DC1C7C" w:rsidRPr="00DC1C7C" w:rsidRDefault="00DC1C7C" w:rsidP="00226E62">
            <w:pPr>
              <w:tabs>
                <w:tab w:val="left" w:pos="0"/>
              </w:tabs>
              <w:jc w:val="center"/>
              <w:rPr>
                <w:rFonts w:ascii="Times New Roman" w:hAnsi="Times New Roman" w:cs="Times New Roman"/>
                <w:color w:val="000000"/>
                <w:sz w:val="24"/>
                <w:szCs w:val="24"/>
              </w:rPr>
            </w:pPr>
            <w:r w:rsidRPr="00DC1C7C">
              <w:rPr>
                <w:rFonts w:ascii="Times New Roman" w:hAnsi="Times New Roman" w:cs="Times New Roman"/>
                <w:color w:val="000000"/>
                <w:sz w:val="24"/>
                <w:szCs w:val="24"/>
              </w:rPr>
              <w:t>1</w:t>
            </w:r>
          </w:p>
        </w:tc>
        <w:tc>
          <w:tcPr>
            <w:tcW w:w="2916" w:type="dxa"/>
            <w:shd w:val="clear" w:color="auto" w:fill="auto"/>
            <w:vAlign w:val="center"/>
          </w:tcPr>
          <w:p w:rsidR="00DC1C7C" w:rsidRPr="00DC1C7C" w:rsidRDefault="00DC1C7C" w:rsidP="00CA6E76">
            <w:pPr>
              <w:tabs>
                <w:tab w:val="left" w:pos="11907"/>
              </w:tabs>
              <w:spacing w:after="0" w:line="240" w:lineRule="auto"/>
              <w:rPr>
                <w:rFonts w:ascii="Times New Roman" w:hAnsi="Times New Roman" w:cs="Times New Roman"/>
                <w:sz w:val="24"/>
                <w:szCs w:val="24"/>
              </w:rPr>
            </w:pPr>
            <w:r w:rsidRPr="00DC1C7C">
              <w:rPr>
                <w:rFonts w:ascii="Times New Roman" w:hAnsi="Times New Roman" w:cs="Times New Roman"/>
                <w:sz w:val="24"/>
                <w:szCs w:val="24"/>
              </w:rPr>
              <w:t>Число субъектов малого и среднего предпринимательства в расчете</w:t>
            </w:r>
            <w:r w:rsidR="00CA6E76">
              <w:rPr>
                <w:rFonts w:ascii="Times New Roman" w:hAnsi="Times New Roman" w:cs="Times New Roman"/>
                <w:sz w:val="24"/>
                <w:szCs w:val="24"/>
              </w:rPr>
              <w:t xml:space="preserve"> </w:t>
            </w:r>
            <w:r w:rsidRPr="00DC1C7C">
              <w:rPr>
                <w:rFonts w:ascii="Times New Roman" w:hAnsi="Times New Roman" w:cs="Times New Roman"/>
                <w:sz w:val="24"/>
                <w:szCs w:val="24"/>
              </w:rPr>
              <w:t>на 10 тыс. человек населения</w:t>
            </w:r>
          </w:p>
        </w:tc>
        <w:tc>
          <w:tcPr>
            <w:tcW w:w="709"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ед.</w:t>
            </w:r>
          </w:p>
        </w:tc>
        <w:tc>
          <w:tcPr>
            <w:tcW w:w="1393"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244,0</w:t>
            </w:r>
          </w:p>
        </w:tc>
        <w:tc>
          <w:tcPr>
            <w:tcW w:w="1442" w:type="dxa"/>
            <w:vAlign w:val="center"/>
          </w:tcPr>
          <w:p w:rsidR="00DC1C7C" w:rsidRPr="00DC1C7C" w:rsidRDefault="00D6361E" w:rsidP="00D42885">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232,6</w:t>
            </w:r>
          </w:p>
        </w:tc>
        <w:tc>
          <w:tcPr>
            <w:tcW w:w="850" w:type="dxa"/>
            <w:vAlign w:val="center"/>
          </w:tcPr>
          <w:p w:rsidR="00DC1C7C" w:rsidRPr="00DC1C7C" w:rsidRDefault="00D6361E" w:rsidP="00D42885">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851" w:type="dxa"/>
            <w:vAlign w:val="center"/>
          </w:tcPr>
          <w:p w:rsidR="00DC1C7C" w:rsidRPr="00DC1C7C" w:rsidRDefault="00D6361E" w:rsidP="00A923B0">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A923B0">
              <w:rPr>
                <w:rFonts w:ascii="Times New Roman" w:hAnsi="Times New Roman" w:cs="Times New Roman"/>
                <w:color w:val="000000"/>
                <w:sz w:val="24"/>
                <w:szCs w:val="24"/>
              </w:rPr>
              <w:t>7</w:t>
            </w:r>
          </w:p>
        </w:tc>
        <w:tc>
          <w:tcPr>
            <w:tcW w:w="2410" w:type="dxa"/>
          </w:tcPr>
          <w:p w:rsidR="00DC1C7C" w:rsidRPr="00CA6E76" w:rsidRDefault="00CA6E76" w:rsidP="00AD3C01">
            <w:pPr>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 xml:space="preserve">В связи с </w:t>
            </w:r>
            <w:r w:rsidR="00D6361E" w:rsidRPr="00D6361E">
              <w:rPr>
                <w:rFonts w:ascii="Times New Roman" w:hAnsi="Times New Roman" w:cs="Times New Roman"/>
                <w:sz w:val="20"/>
                <w:szCs w:val="20"/>
              </w:rPr>
              <w:t xml:space="preserve">распространение новой </w:t>
            </w:r>
            <w:proofErr w:type="spellStart"/>
            <w:r w:rsidR="00D6361E" w:rsidRPr="00D6361E">
              <w:rPr>
                <w:rFonts w:ascii="Times New Roman" w:hAnsi="Times New Roman" w:cs="Times New Roman"/>
                <w:sz w:val="20"/>
                <w:szCs w:val="20"/>
              </w:rPr>
              <w:t>коронавирусной</w:t>
            </w:r>
            <w:proofErr w:type="spellEnd"/>
            <w:r w:rsidR="00D6361E" w:rsidRPr="00D6361E">
              <w:rPr>
                <w:rFonts w:ascii="Times New Roman" w:hAnsi="Times New Roman" w:cs="Times New Roman"/>
                <w:sz w:val="20"/>
                <w:szCs w:val="20"/>
              </w:rPr>
              <w:t xml:space="preserve"> инфекции и введенных ограничений</w:t>
            </w:r>
            <w:r w:rsidR="0030783C">
              <w:rPr>
                <w:rFonts w:ascii="Times New Roman" w:hAnsi="Times New Roman" w:cs="Times New Roman"/>
                <w:sz w:val="20"/>
                <w:szCs w:val="20"/>
              </w:rPr>
              <w:t xml:space="preserve"> на деятельность предприятий</w:t>
            </w:r>
            <w:r w:rsidR="00AD3C01">
              <w:rPr>
                <w:rFonts w:ascii="Times New Roman" w:hAnsi="Times New Roman" w:cs="Times New Roman"/>
                <w:sz w:val="20"/>
                <w:szCs w:val="20"/>
              </w:rPr>
              <w:t xml:space="preserve"> и</w:t>
            </w:r>
            <w:r w:rsidR="00D6361E">
              <w:rPr>
                <w:rFonts w:ascii="Times New Roman" w:hAnsi="Times New Roman" w:cs="Times New Roman"/>
                <w:sz w:val="20"/>
                <w:szCs w:val="20"/>
              </w:rPr>
              <w:t xml:space="preserve"> переход</w:t>
            </w:r>
            <w:r w:rsidR="00AD3C01">
              <w:rPr>
                <w:rFonts w:ascii="Times New Roman" w:hAnsi="Times New Roman" w:cs="Times New Roman"/>
                <w:sz w:val="20"/>
                <w:szCs w:val="20"/>
              </w:rPr>
              <w:t>ом</w:t>
            </w:r>
            <w:r w:rsidR="00D6361E">
              <w:rPr>
                <w:rFonts w:ascii="Times New Roman" w:hAnsi="Times New Roman" w:cs="Times New Roman"/>
                <w:sz w:val="20"/>
                <w:szCs w:val="20"/>
              </w:rPr>
              <w:t xml:space="preserve"> </w:t>
            </w:r>
            <w:r w:rsidR="00924F5D">
              <w:rPr>
                <w:rFonts w:ascii="Times New Roman" w:hAnsi="Times New Roman" w:cs="Times New Roman"/>
                <w:sz w:val="20"/>
                <w:szCs w:val="20"/>
              </w:rPr>
              <w:t xml:space="preserve">Иркутской области </w:t>
            </w:r>
            <w:r w:rsidR="00D6361E">
              <w:rPr>
                <w:rFonts w:ascii="Times New Roman" w:hAnsi="Times New Roman" w:cs="Times New Roman"/>
                <w:sz w:val="20"/>
                <w:szCs w:val="20"/>
              </w:rPr>
              <w:t xml:space="preserve">с 01.07.2020г на новый налоговый режим </w:t>
            </w:r>
            <w:r w:rsidR="00C44777">
              <w:rPr>
                <w:rFonts w:ascii="Times New Roman" w:hAnsi="Times New Roman" w:cs="Times New Roman"/>
                <w:sz w:val="20"/>
                <w:szCs w:val="20"/>
              </w:rPr>
              <w:t>«Налог на профессиональный доход» (</w:t>
            </w:r>
            <w:proofErr w:type="spellStart"/>
            <w:r w:rsidR="00D6361E">
              <w:rPr>
                <w:rFonts w:ascii="Times New Roman" w:hAnsi="Times New Roman" w:cs="Times New Roman"/>
                <w:sz w:val="20"/>
                <w:szCs w:val="20"/>
              </w:rPr>
              <w:t>самозанятость</w:t>
            </w:r>
            <w:proofErr w:type="spellEnd"/>
            <w:r w:rsidR="00C44777">
              <w:rPr>
                <w:rFonts w:ascii="Times New Roman" w:hAnsi="Times New Roman" w:cs="Times New Roman"/>
                <w:sz w:val="20"/>
                <w:szCs w:val="20"/>
              </w:rPr>
              <w:t>)</w:t>
            </w:r>
          </w:p>
        </w:tc>
      </w:tr>
      <w:tr w:rsidR="00DC1C7C" w:rsidRPr="006247A0" w:rsidTr="0030783C">
        <w:trPr>
          <w:trHeight w:val="2140"/>
        </w:trPr>
        <w:tc>
          <w:tcPr>
            <w:tcW w:w="628" w:type="dxa"/>
            <w:shd w:val="clear" w:color="auto" w:fill="auto"/>
            <w:vAlign w:val="center"/>
          </w:tcPr>
          <w:p w:rsidR="00DC1C7C" w:rsidRPr="00DC1C7C" w:rsidRDefault="00DC1C7C" w:rsidP="00226E62">
            <w:pPr>
              <w:tabs>
                <w:tab w:val="left" w:pos="0"/>
              </w:tabs>
              <w:jc w:val="center"/>
              <w:rPr>
                <w:rFonts w:ascii="Times New Roman" w:hAnsi="Times New Roman" w:cs="Times New Roman"/>
                <w:color w:val="000000"/>
                <w:sz w:val="24"/>
                <w:szCs w:val="24"/>
              </w:rPr>
            </w:pPr>
            <w:r w:rsidRPr="00DC1C7C">
              <w:rPr>
                <w:rFonts w:ascii="Times New Roman" w:hAnsi="Times New Roman" w:cs="Times New Roman"/>
                <w:color w:val="000000"/>
                <w:sz w:val="24"/>
                <w:szCs w:val="24"/>
              </w:rPr>
              <w:t>2</w:t>
            </w:r>
          </w:p>
        </w:tc>
        <w:tc>
          <w:tcPr>
            <w:tcW w:w="2916" w:type="dxa"/>
            <w:shd w:val="clear" w:color="auto" w:fill="auto"/>
            <w:vAlign w:val="center"/>
          </w:tcPr>
          <w:p w:rsidR="00DC1C7C" w:rsidRPr="00DC1C7C" w:rsidRDefault="00DC1C7C" w:rsidP="00DC1C7C">
            <w:pPr>
              <w:tabs>
                <w:tab w:val="left" w:pos="11907"/>
              </w:tabs>
              <w:rPr>
                <w:rFonts w:ascii="Times New Roman" w:hAnsi="Times New Roman" w:cs="Times New Roman"/>
                <w:sz w:val="24"/>
                <w:szCs w:val="24"/>
              </w:rPr>
            </w:pPr>
            <w:r w:rsidRPr="00DC1C7C">
              <w:rPr>
                <w:rFonts w:ascii="Times New Roman" w:hAnsi="Times New Roman" w:cs="Times New Roman"/>
                <w:sz w:val="24"/>
                <w:szCs w:val="24"/>
              </w:rPr>
              <w:t>Доля налоговых поступлений от субъектов малого и среднего предпринимательства в собственных доходах местного бюджета</w:t>
            </w:r>
          </w:p>
        </w:tc>
        <w:tc>
          <w:tcPr>
            <w:tcW w:w="709"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w:t>
            </w:r>
          </w:p>
        </w:tc>
        <w:tc>
          <w:tcPr>
            <w:tcW w:w="1393"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16,0</w:t>
            </w:r>
          </w:p>
        </w:tc>
        <w:tc>
          <w:tcPr>
            <w:tcW w:w="1442" w:type="dxa"/>
            <w:vAlign w:val="center"/>
          </w:tcPr>
          <w:p w:rsidR="00DC1C7C" w:rsidRPr="00DC1C7C" w:rsidRDefault="00BC180F" w:rsidP="00CA0246">
            <w:pPr>
              <w:pStyle w:val="ConsPlusNormal"/>
              <w:jc w:val="center"/>
              <w:rPr>
                <w:rFonts w:ascii="Times New Roman" w:hAnsi="Times New Roman" w:cs="Times New Roman"/>
                <w:sz w:val="24"/>
                <w:szCs w:val="24"/>
              </w:rPr>
            </w:pPr>
            <w:r>
              <w:rPr>
                <w:rFonts w:ascii="Times New Roman" w:hAnsi="Times New Roman" w:cs="Times New Roman"/>
                <w:sz w:val="24"/>
                <w:szCs w:val="24"/>
              </w:rPr>
              <w:t>17,1</w:t>
            </w:r>
          </w:p>
        </w:tc>
        <w:tc>
          <w:tcPr>
            <w:tcW w:w="850" w:type="dxa"/>
            <w:vAlign w:val="center"/>
          </w:tcPr>
          <w:p w:rsidR="00DC1C7C" w:rsidRPr="00DC1C7C" w:rsidRDefault="00650D41" w:rsidP="00BC180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C180F">
              <w:rPr>
                <w:rFonts w:ascii="Times New Roman" w:hAnsi="Times New Roman" w:cs="Times New Roman"/>
                <w:sz w:val="24"/>
                <w:szCs w:val="24"/>
              </w:rPr>
              <w:t>1,1</w:t>
            </w:r>
          </w:p>
        </w:tc>
        <w:tc>
          <w:tcPr>
            <w:tcW w:w="851" w:type="dxa"/>
            <w:vAlign w:val="center"/>
          </w:tcPr>
          <w:p w:rsidR="00DC1C7C" w:rsidRPr="00DC1C7C" w:rsidRDefault="00BC180F" w:rsidP="00A923B0">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A923B0">
              <w:rPr>
                <w:rFonts w:ascii="Times New Roman" w:hAnsi="Times New Roman" w:cs="Times New Roman"/>
                <w:sz w:val="24"/>
                <w:szCs w:val="24"/>
              </w:rPr>
              <w:t>9</w:t>
            </w:r>
          </w:p>
        </w:tc>
        <w:tc>
          <w:tcPr>
            <w:tcW w:w="2410" w:type="dxa"/>
            <w:vAlign w:val="center"/>
          </w:tcPr>
          <w:p w:rsidR="00DC1C7C" w:rsidRPr="00DC1C7C" w:rsidRDefault="00AD3C01" w:rsidP="00AD3C01">
            <w:pPr>
              <w:tabs>
                <w:tab w:val="left" w:pos="0"/>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Доля налоговых поступлений от СМСП увеличилась в</w:t>
            </w:r>
            <w:r w:rsidR="00063C77">
              <w:rPr>
                <w:rFonts w:ascii="Times New Roman" w:hAnsi="Times New Roman" w:cs="Times New Roman"/>
                <w:color w:val="000000"/>
                <w:sz w:val="20"/>
                <w:szCs w:val="20"/>
              </w:rPr>
              <w:t xml:space="preserve"> связи с </w:t>
            </w:r>
            <w:r>
              <w:rPr>
                <w:rFonts w:ascii="Times New Roman" w:hAnsi="Times New Roman" w:cs="Times New Roman"/>
                <w:sz w:val="20"/>
                <w:szCs w:val="20"/>
              </w:rPr>
              <w:t>уменьшением объема налоговых и неналоговых доходов местного бюджета</w:t>
            </w:r>
          </w:p>
        </w:tc>
      </w:tr>
      <w:tr w:rsidR="00DC1C7C" w:rsidRPr="008C5137" w:rsidTr="0030783C">
        <w:trPr>
          <w:trHeight w:val="1691"/>
        </w:trPr>
        <w:tc>
          <w:tcPr>
            <w:tcW w:w="628" w:type="dxa"/>
            <w:shd w:val="clear" w:color="auto" w:fill="auto"/>
            <w:vAlign w:val="center"/>
          </w:tcPr>
          <w:p w:rsidR="00DC1C7C" w:rsidRPr="00DC1C7C" w:rsidRDefault="00DC1C7C" w:rsidP="00226E62">
            <w:pPr>
              <w:tabs>
                <w:tab w:val="left" w:pos="0"/>
              </w:tabs>
              <w:jc w:val="center"/>
              <w:rPr>
                <w:rFonts w:ascii="Times New Roman" w:hAnsi="Times New Roman" w:cs="Times New Roman"/>
                <w:color w:val="000000"/>
                <w:sz w:val="24"/>
                <w:szCs w:val="24"/>
              </w:rPr>
            </w:pPr>
            <w:r w:rsidRPr="00DC1C7C">
              <w:rPr>
                <w:rFonts w:ascii="Times New Roman" w:hAnsi="Times New Roman" w:cs="Times New Roman"/>
                <w:color w:val="000000"/>
                <w:sz w:val="24"/>
                <w:szCs w:val="24"/>
              </w:rPr>
              <w:t>3</w:t>
            </w:r>
          </w:p>
        </w:tc>
        <w:tc>
          <w:tcPr>
            <w:tcW w:w="2916" w:type="dxa"/>
            <w:shd w:val="clear" w:color="auto" w:fill="auto"/>
            <w:vAlign w:val="center"/>
          </w:tcPr>
          <w:p w:rsidR="00DC1C7C" w:rsidRPr="00DC1C7C" w:rsidRDefault="00DC1C7C" w:rsidP="00DC1C7C">
            <w:pPr>
              <w:tabs>
                <w:tab w:val="left" w:pos="11907"/>
              </w:tabs>
              <w:rPr>
                <w:rFonts w:ascii="Times New Roman" w:hAnsi="Times New Roman" w:cs="Times New Roman"/>
                <w:sz w:val="24"/>
                <w:szCs w:val="24"/>
              </w:rPr>
            </w:pPr>
            <w:r w:rsidRPr="00DC1C7C">
              <w:rPr>
                <w:rFonts w:ascii="Times New Roman" w:hAnsi="Times New Roman" w:cs="Times New Roman"/>
                <w:sz w:val="24"/>
                <w:szCs w:val="24"/>
              </w:rPr>
              <w:t xml:space="preserve">Выручка от реализации товаров (работ и услуг) предприятий малого и среднего бизнеса (с учетом </w:t>
            </w:r>
            <w:proofErr w:type="spellStart"/>
            <w:r w:rsidRPr="00DC1C7C">
              <w:rPr>
                <w:rFonts w:ascii="Times New Roman" w:hAnsi="Times New Roman" w:cs="Times New Roman"/>
                <w:sz w:val="24"/>
                <w:szCs w:val="24"/>
              </w:rPr>
              <w:t>микропредприятий</w:t>
            </w:r>
            <w:proofErr w:type="spellEnd"/>
            <w:r w:rsidRPr="00DC1C7C">
              <w:rPr>
                <w:rFonts w:ascii="Times New Roman" w:hAnsi="Times New Roman" w:cs="Times New Roman"/>
                <w:sz w:val="24"/>
                <w:szCs w:val="24"/>
              </w:rPr>
              <w:t>)</w:t>
            </w:r>
          </w:p>
        </w:tc>
        <w:tc>
          <w:tcPr>
            <w:tcW w:w="709"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proofErr w:type="spellStart"/>
            <w:r w:rsidRPr="00DC1C7C">
              <w:rPr>
                <w:rFonts w:ascii="Times New Roman" w:hAnsi="Times New Roman" w:cs="Times New Roman"/>
                <w:sz w:val="24"/>
                <w:szCs w:val="24"/>
              </w:rPr>
              <w:t>млн</w:t>
            </w:r>
            <w:proofErr w:type="gramStart"/>
            <w:r w:rsidRPr="00DC1C7C">
              <w:rPr>
                <w:rFonts w:ascii="Times New Roman" w:hAnsi="Times New Roman" w:cs="Times New Roman"/>
                <w:sz w:val="24"/>
                <w:szCs w:val="24"/>
              </w:rPr>
              <w:t>.р</w:t>
            </w:r>
            <w:proofErr w:type="gramEnd"/>
            <w:r w:rsidRPr="00DC1C7C">
              <w:rPr>
                <w:rFonts w:ascii="Times New Roman" w:hAnsi="Times New Roman" w:cs="Times New Roman"/>
                <w:sz w:val="24"/>
                <w:szCs w:val="24"/>
              </w:rPr>
              <w:t>уб</w:t>
            </w:r>
            <w:proofErr w:type="spellEnd"/>
          </w:p>
        </w:tc>
        <w:tc>
          <w:tcPr>
            <w:tcW w:w="1393" w:type="dxa"/>
            <w:shd w:val="clear" w:color="auto" w:fill="auto"/>
            <w:vAlign w:val="center"/>
          </w:tcPr>
          <w:p w:rsidR="00DC1C7C" w:rsidRPr="00DC1C7C" w:rsidRDefault="00DC1C7C" w:rsidP="00EA7C2F">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2216,4</w:t>
            </w:r>
          </w:p>
        </w:tc>
        <w:tc>
          <w:tcPr>
            <w:tcW w:w="1442" w:type="dxa"/>
            <w:vAlign w:val="center"/>
          </w:tcPr>
          <w:p w:rsidR="00DC1C7C" w:rsidRPr="00DC1C7C" w:rsidRDefault="00EA7C2F" w:rsidP="00EA7C2F">
            <w:pPr>
              <w:pStyle w:val="ConsPlusNormal"/>
              <w:jc w:val="center"/>
              <w:rPr>
                <w:rFonts w:ascii="Times New Roman" w:hAnsi="Times New Roman" w:cs="Times New Roman"/>
                <w:sz w:val="24"/>
                <w:szCs w:val="24"/>
              </w:rPr>
            </w:pPr>
            <w:r>
              <w:rPr>
                <w:rFonts w:ascii="Times New Roman" w:hAnsi="Times New Roman" w:cs="Times New Roman"/>
                <w:sz w:val="24"/>
                <w:szCs w:val="24"/>
              </w:rPr>
              <w:t>1923,5</w:t>
            </w:r>
          </w:p>
        </w:tc>
        <w:tc>
          <w:tcPr>
            <w:tcW w:w="850" w:type="dxa"/>
            <w:vAlign w:val="center"/>
          </w:tcPr>
          <w:p w:rsidR="00DC1C7C" w:rsidRPr="00DC1C7C" w:rsidRDefault="00EA7C2F" w:rsidP="00EA7C2F">
            <w:pPr>
              <w:pStyle w:val="ConsPlusNormal"/>
              <w:jc w:val="center"/>
              <w:rPr>
                <w:rFonts w:ascii="Times New Roman" w:hAnsi="Times New Roman" w:cs="Times New Roman"/>
                <w:sz w:val="24"/>
                <w:szCs w:val="24"/>
              </w:rPr>
            </w:pPr>
            <w:r>
              <w:rPr>
                <w:rFonts w:ascii="Times New Roman" w:hAnsi="Times New Roman" w:cs="Times New Roman"/>
                <w:sz w:val="24"/>
                <w:szCs w:val="24"/>
              </w:rPr>
              <w:t>-292,9</w:t>
            </w:r>
          </w:p>
        </w:tc>
        <w:tc>
          <w:tcPr>
            <w:tcW w:w="851" w:type="dxa"/>
            <w:vAlign w:val="center"/>
          </w:tcPr>
          <w:p w:rsidR="00DC1C7C" w:rsidRPr="00DC1C7C" w:rsidRDefault="00EA7C2F" w:rsidP="00A923B0">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2410" w:type="dxa"/>
            <w:vAlign w:val="center"/>
          </w:tcPr>
          <w:p w:rsidR="00DC1C7C" w:rsidRPr="00DC1C7C" w:rsidRDefault="00D6361E" w:rsidP="00EA7C2F">
            <w:pPr>
              <w:pStyle w:val="ConsPlusNormal"/>
              <w:jc w:val="center"/>
              <w:rPr>
                <w:rFonts w:ascii="Times New Roman" w:hAnsi="Times New Roman" w:cs="Times New Roman"/>
                <w:sz w:val="24"/>
                <w:szCs w:val="24"/>
              </w:rPr>
            </w:pPr>
            <w:r>
              <w:rPr>
                <w:rFonts w:ascii="Times New Roman" w:hAnsi="Times New Roman" w:cs="Times New Roman"/>
                <w:color w:val="000000"/>
                <w:sz w:val="20"/>
              </w:rPr>
              <w:t xml:space="preserve">В связи с </w:t>
            </w:r>
            <w:r w:rsidRPr="00D6361E">
              <w:rPr>
                <w:rFonts w:ascii="Times New Roman" w:hAnsi="Times New Roman" w:cs="Times New Roman"/>
                <w:sz w:val="20"/>
              </w:rPr>
              <w:t xml:space="preserve">распространение новой </w:t>
            </w:r>
            <w:proofErr w:type="spellStart"/>
            <w:r w:rsidRPr="00D6361E">
              <w:rPr>
                <w:rFonts w:ascii="Times New Roman" w:hAnsi="Times New Roman" w:cs="Times New Roman"/>
                <w:sz w:val="20"/>
              </w:rPr>
              <w:t>коронавирусной</w:t>
            </w:r>
            <w:proofErr w:type="spellEnd"/>
            <w:r w:rsidRPr="00D6361E">
              <w:rPr>
                <w:rFonts w:ascii="Times New Roman" w:hAnsi="Times New Roman" w:cs="Times New Roman"/>
                <w:sz w:val="20"/>
              </w:rPr>
              <w:t xml:space="preserve"> инфекции и введенных ограничений</w:t>
            </w:r>
            <w:r w:rsidR="0030783C">
              <w:rPr>
                <w:rFonts w:ascii="Times New Roman" w:hAnsi="Times New Roman" w:cs="Times New Roman"/>
                <w:sz w:val="20"/>
              </w:rPr>
              <w:t xml:space="preserve"> и запретов в деятельности </w:t>
            </w:r>
            <w:proofErr w:type="spellStart"/>
            <w:r w:rsidR="0030783C">
              <w:rPr>
                <w:rFonts w:ascii="Times New Roman" w:hAnsi="Times New Roman" w:cs="Times New Roman"/>
                <w:sz w:val="20"/>
              </w:rPr>
              <w:t>хоз</w:t>
            </w:r>
            <w:proofErr w:type="gramStart"/>
            <w:r w:rsidR="0030783C">
              <w:rPr>
                <w:rFonts w:ascii="Times New Roman" w:hAnsi="Times New Roman" w:cs="Times New Roman"/>
                <w:sz w:val="20"/>
              </w:rPr>
              <w:t>.с</w:t>
            </w:r>
            <w:proofErr w:type="gramEnd"/>
            <w:r w:rsidR="0030783C">
              <w:rPr>
                <w:rFonts w:ascii="Times New Roman" w:hAnsi="Times New Roman" w:cs="Times New Roman"/>
                <w:sz w:val="20"/>
              </w:rPr>
              <w:t>убъектов</w:t>
            </w:r>
            <w:proofErr w:type="spellEnd"/>
          </w:p>
        </w:tc>
      </w:tr>
      <w:tr w:rsidR="00DC1C7C" w:rsidRPr="008C5137" w:rsidTr="0030783C">
        <w:trPr>
          <w:trHeight w:val="1691"/>
        </w:trPr>
        <w:tc>
          <w:tcPr>
            <w:tcW w:w="628" w:type="dxa"/>
            <w:shd w:val="clear" w:color="auto" w:fill="auto"/>
            <w:vAlign w:val="center"/>
          </w:tcPr>
          <w:p w:rsidR="00DC1C7C" w:rsidRPr="00DC1C7C" w:rsidRDefault="00DD6805" w:rsidP="00226E62">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16" w:type="dxa"/>
            <w:shd w:val="clear" w:color="auto" w:fill="auto"/>
            <w:vAlign w:val="center"/>
          </w:tcPr>
          <w:p w:rsidR="00DC1C7C" w:rsidRPr="00DC1C7C" w:rsidRDefault="00DC1C7C" w:rsidP="00DC1C7C">
            <w:pPr>
              <w:tabs>
                <w:tab w:val="left" w:pos="11907"/>
              </w:tabs>
              <w:rPr>
                <w:rFonts w:ascii="Times New Roman" w:hAnsi="Times New Roman" w:cs="Times New Roman"/>
                <w:sz w:val="24"/>
                <w:szCs w:val="24"/>
              </w:rPr>
            </w:pPr>
            <w:r w:rsidRPr="00DC1C7C">
              <w:rPr>
                <w:rFonts w:ascii="Times New Roman" w:hAnsi="Times New Roman" w:cs="Times New Roman"/>
                <w:sz w:val="24"/>
                <w:szCs w:val="24"/>
              </w:rPr>
              <w:t xml:space="preserve">Доля среднесписочной численности работников (без внешних совместителей), занятых у субъектов малого и среднего предпринимательства, </w:t>
            </w:r>
            <w:r w:rsidR="00D6361E" w:rsidRPr="00D6361E">
              <w:rPr>
                <w:rFonts w:ascii="Times New Roman" w:hAnsi="Times New Roman" w:cs="Times New Roman"/>
                <w:sz w:val="24"/>
                <w:szCs w:val="24"/>
              </w:rPr>
              <w:t>по полному кругу организаций.</w:t>
            </w:r>
          </w:p>
        </w:tc>
        <w:tc>
          <w:tcPr>
            <w:tcW w:w="709"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w:t>
            </w:r>
          </w:p>
        </w:tc>
        <w:tc>
          <w:tcPr>
            <w:tcW w:w="1393" w:type="dxa"/>
            <w:shd w:val="clear" w:color="auto" w:fill="auto"/>
            <w:vAlign w:val="center"/>
          </w:tcPr>
          <w:p w:rsidR="00DC1C7C" w:rsidRPr="00DC1C7C" w:rsidRDefault="00DC1C7C" w:rsidP="00DC1C7C">
            <w:pPr>
              <w:tabs>
                <w:tab w:val="left" w:pos="11907"/>
              </w:tabs>
              <w:jc w:val="center"/>
              <w:rPr>
                <w:rFonts w:ascii="Times New Roman" w:hAnsi="Times New Roman" w:cs="Times New Roman"/>
                <w:sz w:val="24"/>
                <w:szCs w:val="24"/>
              </w:rPr>
            </w:pPr>
            <w:r w:rsidRPr="00DC1C7C">
              <w:rPr>
                <w:rFonts w:ascii="Times New Roman" w:hAnsi="Times New Roman" w:cs="Times New Roman"/>
                <w:sz w:val="24"/>
                <w:szCs w:val="24"/>
              </w:rPr>
              <w:t>18,0</w:t>
            </w:r>
          </w:p>
        </w:tc>
        <w:tc>
          <w:tcPr>
            <w:tcW w:w="1442" w:type="dxa"/>
            <w:vAlign w:val="center"/>
          </w:tcPr>
          <w:p w:rsidR="00DC1C7C" w:rsidRPr="00DC1C7C" w:rsidRDefault="00EA7C2F" w:rsidP="00D42885">
            <w:pPr>
              <w:pStyle w:val="ConsPlusNormal"/>
              <w:jc w:val="center"/>
              <w:rPr>
                <w:rFonts w:ascii="Times New Roman" w:hAnsi="Times New Roman" w:cs="Times New Roman"/>
                <w:sz w:val="24"/>
                <w:szCs w:val="24"/>
              </w:rPr>
            </w:pPr>
            <w:r>
              <w:rPr>
                <w:rFonts w:ascii="Times New Roman" w:hAnsi="Times New Roman" w:cs="Times New Roman"/>
                <w:sz w:val="24"/>
                <w:szCs w:val="24"/>
              </w:rPr>
              <w:t>16,8</w:t>
            </w:r>
          </w:p>
        </w:tc>
        <w:tc>
          <w:tcPr>
            <w:tcW w:w="850" w:type="dxa"/>
            <w:vAlign w:val="center"/>
          </w:tcPr>
          <w:p w:rsidR="00DC1C7C" w:rsidRPr="00DC1C7C" w:rsidRDefault="00EA7C2F" w:rsidP="00D42885">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vAlign w:val="center"/>
          </w:tcPr>
          <w:p w:rsidR="00DC1C7C" w:rsidRPr="00DC1C7C" w:rsidRDefault="00EA7C2F" w:rsidP="00A923B0">
            <w:pPr>
              <w:pStyle w:val="ConsPlusNormal"/>
              <w:jc w:val="center"/>
              <w:rPr>
                <w:rFonts w:ascii="Times New Roman" w:hAnsi="Times New Roman" w:cs="Times New Roman"/>
                <w:sz w:val="24"/>
                <w:szCs w:val="24"/>
              </w:rPr>
            </w:pPr>
            <w:r>
              <w:rPr>
                <w:rFonts w:ascii="Times New Roman" w:hAnsi="Times New Roman" w:cs="Times New Roman"/>
                <w:sz w:val="24"/>
                <w:szCs w:val="24"/>
              </w:rPr>
              <w:t>- 6,</w:t>
            </w:r>
            <w:r w:rsidR="00A923B0">
              <w:rPr>
                <w:rFonts w:ascii="Times New Roman" w:hAnsi="Times New Roman" w:cs="Times New Roman"/>
                <w:sz w:val="24"/>
                <w:szCs w:val="24"/>
              </w:rPr>
              <w:t xml:space="preserve"> </w:t>
            </w:r>
            <w:r>
              <w:rPr>
                <w:rFonts w:ascii="Times New Roman" w:hAnsi="Times New Roman" w:cs="Times New Roman"/>
                <w:sz w:val="24"/>
                <w:szCs w:val="24"/>
              </w:rPr>
              <w:t>7</w:t>
            </w:r>
          </w:p>
        </w:tc>
        <w:tc>
          <w:tcPr>
            <w:tcW w:w="2410" w:type="dxa"/>
            <w:vAlign w:val="center"/>
          </w:tcPr>
          <w:p w:rsidR="00DC1C7C" w:rsidRPr="00DC1C7C" w:rsidRDefault="00924F5D" w:rsidP="00C44777">
            <w:pPr>
              <w:pStyle w:val="ConsPlusNormal"/>
              <w:jc w:val="center"/>
              <w:rPr>
                <w:rFonts w:ascii="Times New Roman" w:hAnsi="Times New Roman" w:cs="Times New Roman"/>
                <w:sz w:val="24"/>
                <w:szCs w:val="24"/>
              </w:rPr>
            </w:pPr>
            <w:r>
              <w:rPr>
                <w:rFonts w:ascii="Times New Roman" w:hAnsi="Times New Roman" w:cs="Times New Roman"/>
                <w:color w:val="000000"/>
                <w:sz w:val="20"/>
              </w:rPr>
              <w:t>В связи с сокращением количества субъектов МСП</w:t>
            </w:r>
          </w:p>
        </w:tc>
      </w:tr>
    </w:tbl>
    <w:p w:rsidR="00C44777" w:rsidRDefault="00C44777" w:rsidP="009A2838">
      <w:pPr>
        <w:tabs>
          <w:tab w:val="left" w:pos="11907"/>
        </w:tabs>
        <w:spacing w:after="0" w:line="240" w:lineRule="auto"/>
        <w:ind w:left="-426"/>
        <w:rPr>
          <w:rFonts w:ascii="Times New Roman" w:hAnsi="Times New Roman" w:cs="Times New Roman"/>
          <w:color w:val="000000"/>
          <w:sz w:val="28"/>
          <w:szCs w:val="28"/>
        </w:rPr>
      </w:pPr>
      <w:bookmarkStart w:id="1" w:name="_GoBack"/>
      <w:bookmarkEnd w:id="1"/>
    </w:p>
    <w:sectPr w:rsidR="00C44777" w:rsidSect="006E4D4F">
      <w:pgSz w:w="11905" w:h="16838"/>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18" w:rsidRDefault="00341518" w:rsidP="003E1690">
      <w:pPr>
        <w:spacing w:after="0" w:line="240" w:lineRule="auto"/>
      </w:pPr>
      <w:r>
        <w:separator/>
      </w:r>
    </w:p>
  </w:endnote>
  <w:endnote w:type="continuationSeparator" w:id="0">
    <w:p w:rsidR="00341518" w:rsidRDefault="00341518" w:rsidP="003E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18" w:rsidRDefault="00341518" w:rsidP="003E1690">
      <w:pPr>
        <w:spacing w:after="0" w:line="240" w:lineRule="auto"/>
      </w:pPr>
      <w:r>
        <w:separator/>
      </w:r>
    </w:p>
  </w:footnote>
  <w:footnote w:type="continuationSeparator" w:id="0">
    <w:p w:rsidR="00341518" w:rsidRDefault="00341518" w:rsidP="003E1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B11"/>
    <w:multiLevelType w:val="hybridMultilevel"/>
    <w:tmpl w:val="16F2BA5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473F9"/>
    <w:multiLevelType w:val="hybridMultilevel"/>
    <w:tmpl w:val="F11EB040"/>
    <w:lvl w:ilvl="0" w:tplc="2110D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473796D"/>
    <w:multiLevelType w:val="hybridMultilevel"/>
    <w:tmpl w:val="22906A56"/>
    <w:lvl w:ilvl="0" w:tplc="16922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043AD2"/>
    <w:multiLevelType w:val="hybridMultilevel"/>
    <w:tmpl w:val="7BEA43D4"/>
    <w:lvl w:ilvl="0" w:tplc="A87C43C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78C00D5"/>
    <w:multiLevelType w:val="hybridMultilevel"/>
    <w:tmpl w:val="444C79F2"/>
    <w:lvl w:ilvl="0" w:tplc="405ECB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D2"/>
    <w:rsid w:val="00002425"/>
    <w:rsid w:val="00015B0D"/>
    <w:rsid w:val="000231C0"/>
    <w:rsid w:val="00035BB2"/>
    <w:rsid w:val="00046977"/>
    <w:rsid w:val="00054E64"/>
    <w:rsid w:val="00063C77"/>
    <w:rsid w:val="00075B4B"/>
    <w:rsid w:val="000A449B"/>
    <w:rsid w:val="000C42A6"/>
    <w:rsid w:val="000D09F7"/>
    <w:rsid w:val="000E5A56"/>
    <w:rsid w:val="0014093D"/>
    <w:rsid w:val="00160C8A"/>
    <w:rsid w:val="00161F24"/>
    <w:rsid w:val="001669BE"/>
    <w:rsid w:val="00173649"/>
    <w:rsid w:val="001850D2"/>
    <w:rsid w:val="001B6043"/>
    <w:rsid w:val="001C6EF2"/>
    <w:rsid w:val="001F2A08"/>
    <w:rsid w:val="002028BB"/>
    <w:rsid w:val="00210AD5"/>
    <w:rsid w:val="00220460"/>
    <w:rsid w:val="00221797"/>
    <w:rsid w:val="00224A15"/>
    <w:rsid w:val="00226E62"/>
    <w:rsid w:val="0023422C"/>
    <w:rsid w:val="00242FA2"/>
    <w:rsid w:val="00251E11"/>
    <w:rsid w:val="0026014C"/>
    <w:rsid w:val="00260E6F"/>
    <w:rsid w:val="002718FA"/>
    <w:rsid w:val="00290603"/>
    <w:rsid w:val="002B71FD"/>
    <w:rsid w:val="002C5870"/>
    <w:rsid w:val="002D0C96"/>
    <w:rsid w:val="002D6DC8"/>
    <w:rsid w:val="002E6E42"/>
    <w:rsid w:val="002E76C3"/>
    <w:rsid w:val="002F6EA8"/>
    <w:rsid w:val="00306CE1"/>
    <w:rsid w:val="0030783C"/>
    <w:rsid w:val="00320BD9"/>
    <w:rsid w:val="003320CA"/>
    <w:rsid w:val="00341518"/>
    <w:rsid w:val="003573D8"/>
    <w:rsid w:val="00391D7A"/>
    <w:rsid w:val="0039735C"/>
    <w:rsid w:val="003A1368"/>
    <w:rsid w:val="003B0DCD"/>
    <w:rsid w:val="003B1E07"/>
    <w:rsid w:val="003C11BB"/>
    <w:rsid w:val="003D33C7"/>
    <w:rsid w:val="003E1690"/>
    <w:rsid w:val="00414334"/>
    <w:rsid w:val="00417D44"/>
    <w:rsid w:val="0042030B"/>
    <w:rsid w:val="00447094"/>
    <w:rsid w:val="00473598"/>
    <w:rsid w:val="00490ADE"/>
    <w:rsid w:val="00496CE0"/>
    <w:rsid w:val="004B1A04"/>
    <w:rsid w:val="004D5DD2"/>
    <w:rsid w:val="004E1D24"/>
    <w:rsid w:val="004E23E1"/>
    <w:rsid w:val="004E6FB1"/>
    <w:rsid w:val="005009DB"/>
    <w:rsid w:val="00500C56"/>
    <w:rsid w:val="005068D3"/>
    <w:rsid w:val="00524ADE"/>
    <w:rsid w:val="00532AE6"/>
    <w:rsid w:val="00541C3B"/>
    <w:rsid w:val="005435F3"/>
    <w:rsid w:val="00546276"/>
    <w:rsid w:val="005629A5"/>
    <w:rsid w:val="00584177"/>
    <w:rsid w:val="00591C8F"/>
    <w:rsid w:val="005A5345"/>
    <w:rsid w:val="005A6952"/>
    <w:rsid w:val="005B15C2"/>
    <w:rsid w:val="005B735D"/>
    <w:rsid w:val="005D4713"/>
    <w:rsid w:val="005D48F4"/>
    <w:rsid w:val="00604637"/>
    <w:rsid w:val="00624680"/>
    <w:rsid w:val="006247A0"/>
    <w:rsid w:val="00640CDC"/>
    <w:rsid w:val="00650D41"/>
    <w:rsid w:val="00652424"/>
    <w:rsid w:val="00673A23"/>
    <w:rsid w:val="00693329"/>
    <w:rsid w:val="006A3E3C"/>
    <w:rsid w:val="006E1290"/>
    <w:rsid w:val="006E4D4F"/>
    <w:rsid w:val="006F5270"/>
    <w:rsid w:val="00716698"/>
    <w:rsid w:val="00724BD8"/>
    <w:rsid w:val="00731CA9"/>
    <w:rsid w:val="00745D67"/>
    <w:rsid w:val="00750C0F"/>
    <w:rsid w:val="0075218C"/>
    <w:rsid w:val="007A1694"/>
    <w:rsid w:val="007C1268"/>
    <w:rsid w:val="008551FD"/>
    <w:rsid w:val="008775AA"/>
    <w:rsid w:val="008862A0"/>
    <w:rsid w:val="00891264"/>
    <w:rsid w:val="008A0979"/>
    <w:rsid w:val="008A348C"/>
    <w:rsid w:val="008E0937"/>
    <w:rsid w:val="008E612E"/>
    <w:rsid w:val="008F7FC3"/>
    <w:rsid w:val="00916191"/>
    <w:rsid w:val="009204E4"/>
    <w:rsid w:val="00924F5D"/>
    <w:rsid w:val="0094088F"/>
    <w:rsid w:val="00977D3B"/>
    <w:rsid w:val="009817D8"/>
    <w:rsid w:val="0098387B"/>
    <w:rsid w:val="0099332E"/>
    <w:rsid w:val="009938AF"/>
    <w:rsid w:val="00994451"/>
    <w:rsid w:val="009A2838"/>
    <w:rsid w:val="009A307C"/>
    <w:rsid w:val="009B626C"/>
    <w:rsid w:val="009C4698"/>
    <w:rsid w:val="009D3DF7"/>
    <w:rsid w:val="009F6781"/>
    <w:rsid w:val="00A16751"/>
    <w:rsid w:val="00A17E6F"/>
    <w:rsid w:val="00A30266"/>
    <w:rsid w:val="00A409FC"/>
    <w:rsid w:val="00A5183B"/>
    <w:rsid w:val="00A65A71"/>
    <w:rsid w:val="00A923B0"/>
    <w:rsid w:val="00AB50F6"/>
    <w:rsid w:val="00AD3C01"/>
    <w:rsid w:val="00AD5D8F"/>
    <w:rsid w:val="00AF216A"/>
    <w:rsid w:val="00AF38E9"/>
    <w:rsid w:val="00AF452D"/>
    <w:rsid w:val="00AF5A45"/>
    <w:rsid w:val="00B00C1A"/>
    <w:rsid w:val="00B028E1"/>
    <w:rsid w:val="00B13638"/>
    <w:rsid w:val="00B23E87"/>
    <w:rsid w:val="00B24A1C"/>
    <w:rsid w:val="00B81D12"/>
    <w:rsid w:val="00B827E9"/>
    <w:rsid w:val="00BC180F"/>
    <w:rsid w:val="00BE6515"/>
    <w:rsid w:val="00BE6BE2"/>
    <w:rsid w:val="00BF12BF"/>
    <w:rsid w:val="00BF405C"/>
    <w:rsid w:val="00C05E4F"/>
    <w:rsid w:val="00C179EA"/>
    <w:rsid w:val="00C26DE7"/>
    <w:rsid w:val="00C3509A"/>
    <w:rsid w:val="00C425EC"/>
    <w:rsid w:val="00C44777"/>
    <w:rsid w:val="00C66CB3"/>
    <w:rsid w:val="00CA0246"/>
    <w:rsid w:val="00CA6E76"/>
    <w:rsid w:val="00CB63F3"/>
    <w:rsid w:val="00CC2F44"/>
    <w:rsid w:val="00CF3A66"/>
    <w:rsid w:val="00D072EF"/>
    <w:rsid w:val="00D27F22"/>
    <w:rsid w:val="00D31CCD"/>
    <w:rsid w:val="00D3609B"/>
    <w:rsid w:val="00D42885"/>
    <w:rsid w:val="00D6361E"/>
    <w:rsid w:val="00D83B6A"/>
    <w:rsid w:val="00DA1751"/>
    <w:rsid w:val="00DA4E74"/>
    <w:rsid w:val="00DA6360"/>
    <w:rsid w:val="00DC0718"/>
    <w:rsid w:val="00DC1C7C"/>
    <w:rsid w:val="00DC6204"/>
    <w:rsid w:val="00DD6514"/>
    <w:rsid w:val="00DD6805"/>
    <w:rsid w:val="00E37DD1"/>
    <w:rsid w:val="00E40A6D"/>
    <w:rsid w:val="00E43B25"/>
    <w:rsid w:val="00E571D7"/>
    <w:rsid w:val="00E70BDA"/>
    <w:rsid w:val="00E73857"/>
    <w:rsid w:val="00E95FC1"/>
    <w:rsid w:val="00E97ABD"/>
    <w:rsid w:val="00EA4548"/>
    <w:rsid w:val="00EA7C2F"/>
    <w:rsid w:val="00EB1CA0"/>
    <w:rsid w:val="00EB367D"/>
    <w:rsid w:val="00EB64FA"/>
    <w:rsid w:val="00ED74ED"/>
    <w:rsid w:val="00EE6427"/>
    <w:rsid w:val="00EE7484"/>
    <w:rsid w:val="00EF6A35"/>
    <w:rsid w:val="00F041D1"/>
    <w:rsid w:val="00F11B35"/>
    <w:rsid w:val="00F1302F"/>
    <w:rsid w:val="00F15A17"/>
    <w:rsid w:val="00F403FB"/>
    <w:rsid w:val="00F6693B"/>
    <w:rsid w:val="00F91651"/>
    <w:rsid w:val="00F929B7"/>
    <w:rsid w:val="00F92FE8"/>
    <w:rsid w:val="00FA02CD"/>
    <w:rsid w:val="00FA0C07"/>
    <w:rsid w:val="00FB7E97"/>
    <w:rsid w:val="00FF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0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50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50D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EE6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3B25"/>
    <w:pPr>
      <w:ind w:left="720"/>
      <w:contextualSpacing/>
    </w:pPr>
  </w:style>
  <w:style w:type="paragraph" w:customStyle="1" w:styleId="CharCharCharCharCharCharCharCharCharChar">
    <w:name w:val="Char Char Знак Знак Char Char Знак Знак Char Char Знак Знак Char Char Знак Знак Char Char"/>
    <w:basedOn w:val="a"/>
    <w:rsid w:val="005B15C2"/>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5B15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5B15C2"/>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2F6EA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2F6EA8"/>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9938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38AF"/>
    <w:rPr>
      <w:rFonts w:ascii="Tahoma" w:hAnsi="Tahoma" w:cs="Tahoma"/>
      <w:sz w:val="16"/>
      <w:szCs w:val="16"/>
    </w:rPr>
  </w:style>
  <w:style w:type="paragraph" w:styleId="a8">
    <w:name w:val="header"/>
    <w:basedOn w:val="a"/>
    <w:link w:val="a9"/>
    <w:uiPriority w:val="99"/>
    <w:unhideWhenUsed/>
    <w:rsid w:val="003E16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1690"/>
  </w:style>
  <w:style w:type="paragraph" w:styleId="aa">
    <w:name w:val="footer"/>
    <w:basedOn w:val="a"/>
    <w:link w:val="ab"/>
    <w:uiPriority w:val="99"/>
    <w:unhideWhenUsed/>
    <w:rsid w:val="003E16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1690"/>
  </w:style>
  <w:style w:type="paragraph" w:customStyle="1" w:styleId="Default">
    <w:name w:val="Default"/>
    <w:rsid w:val="000C42A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0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50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50D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EE6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3B25"/>
    <w:pPr>
      <w:ind w:left="720"/>
      <w:contextualSpacing/>
    </w:pPr>
  </w:style>
  <w:style w:type="paragraph" w:customStyle="1" w:styleId="CharCharCharCharCharCharCharCharCharChar">
    <w:name w:val="Char Char Знак Знак Char Char Знак Знак Char Char Знак Знак Char Char Знак Знак Char Char"/>
    <w:basedOn w:val="a"/>
    <w:rsid w:val="005B15C2"/>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5B15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5B15C2"/>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2F6EA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2F6EA8"/>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9938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38AF"/>
    <w:rPr>
      <w:rFonts w:ascii="Tahoma" w:hAnsi="Tahoma" w:cs="Tahoma"/>
      <w:sz w:val="16"/>
      <w:szCs w:val="16"/>
    </w:rPr>
  </w:style>
  <w:style w:type="paragraph" w:styleId="a8">
    <w:name w:val="header"/>
    <w:basedOn w:val="a"/>
    <w:link w:val="a9"/>
    <w:uiPriority w:val="99"/>
    <w:unhideWhenUsed/>
    <w:rsid w:val="003E16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1690"/>
  </w:style>
  <w:style w:type="paragraph" w:styleId="aa">
    <w:name w:val="footer"/>
    <w:basedOn w:val="a"/>
    <w:link w:val="ab"/>
    <w:uiPriority w:val="99"/>
    <w:unhideWhenUsed/>
    <w:rsid w:val="003E16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1690"/>
  </w:style>
  <w:style w:type="paragraph" w:customStyle="1" w:styleId="Default">
    <w:name w:val="Default"/>
    <w:rsid w:val="000C42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99727">
      <w:bodyDiv w:val="1"/>
      <w:marLeft w:val="0"/>
      <w:marRight w:val="0"/>
      <w:marTop w:val="0"/>
      <w:marBottom w:val="0"/>
      <w:divBdr>
        <w:top w:val="none" w:sz="0" w:space="0" w:color="auto"/>
        <w:left w:val="none" w:sz="0" w:space="0" w:color="auto"/>
        <w:bottom w:val="none" w:sz="0" w:space="0" w:color="auto"/>
        <w:right w:val="none" w:sz="0" w:space="0" w:color="auto"/>
      </w:divBdr>
    </w:div>
    <w:div w:id="16204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1893</TotalTime>
  <Pages>5</Pages>
  <Words>1382</Words>
  <Characters>7883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Федорович</dc:creator>
  <cp:keywords/>
  <dc:description/>
  <cp:lastModifiedBy>Федорович</cp:lastModifiedBy>
  <cp:revision>35</cp:revision>
  <cp:lastPrinted>2021-02-08T02:17:00Z</cp:lastPrinted>
  <dcterms:created xsi:type="dcterms:W3CDTF">2019-01-23T05:01:00Z</dcterms:created>
  <dcterms:modified xsi:type="dcterms:W3CDTF">2021-03-03T06:48:00Z</dcterms:modified>
</cp:coreProperties>
</file>