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F8" w:rsidRPr="004E7424" w:rsidRDefault="00AE6BF8" w:rsidP="00DD087B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Новый порядок </w:t>
      </w:r>
      <w:proofErr w:type="gramStart"/>
      <w:r w:rsidRPr="00AE6BF8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обучения по охране</w:t>
      </w:r>
      <w:proofErr w:type="gramEnd"/>
      <w:r w:rsidRPr="00AE6BF8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труда (Детальный разбор)</w:t>
      </w:r>
    </w:p>
    <w:p w:rsidR="00DD087B" w:rsidRPr="00AE6BF8" w:rsidRDefault="00DD087B" w:rsidP="00DD087B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Разберём, как регламентируется обучение в обновлённом ТК РФ, в чём принципиальные отличия нового порядка от старого, каким образом будут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вводится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новые требования, как перестроить процедуру проведения инструктажей по охране труда с примерами и шаблонами оформления документов, регламентирующих проведение вводного инструктажа (приказ о назначении ответственного и утверждении документов, программа проведения инструктажа и журнал регистрации вводного инструктажа). </w:t>
      </w:r>
    </w:p>
    <w:p w:rsidR="00DD087B" w:rsidRDefault="00DD087B" w:rsidP="00DD087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AE6BF8" w:rsidRPr="00AE6BF8" w:rsidRDefault="00AE6BF8" w:rsidP="00DD087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ТК РФ о порядке </w:t>
      </w:r>
      <w:proofErr w:type="gramStart"/>
      <w:r w:rsidRPr="00AE6B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обучения по охране</w:t>
      </w:r>
      <w:proofErr w:type="gramEnd"/>
      <w:r w:rsidRPr="00AE6B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труда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1 сентября 2022 г. старый порядок утратит силу. Одновременно вступит в силу новый порядок, утверждённый Правительством в соответствии с нормами </w:t>
      </w:r>
      <w:hyperlink r:id="rId6" w:tgtFrame="_blank" w:history="1">
        <w:r w:rsidRPr="00AE6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219</w:t>
        </w:r>
      </w:hyperlink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обновленного Х раздела ТК РФ. Он будет действовать всего 4 года – до 1 сентября 2026 г.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Нормы статьи 219 новой редакции ТК РФ и ранее действовавшей статьи 225 старой редакции ТК РФ имеют три существенных отличия: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08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Первое отличие.</w:t>
      </w: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Порядок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обучения по охране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труда будет устанавливать Правительство, а не Минтруд.</w:t>
      </w: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Право устанавливать порядок обучения и требования к обучающим организациям передано с министерского уровня на уровень Правительства РФ.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Извлечение из ст. 219 ТК РФ: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Порядок </w:t>
      </w:r>
      <w:proofErr w:type="gramStart"/>
      <w:r w:rsidRPr="00AE6BF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обучения по охране</w:t>
      </w:r>
      <w:proofErr w:type="gramEnd"/>
      <w:r w:rsidRPr="00AE6BF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труда и проверки знания требований охраны труда, а также требования к организациям, оказывающим услуги по проведению обучения по охране труда, устанавливаются Правительством Российской Федерации с учётом мнения Российской трёхсторонней комиссии по регулированию социально-трудовых отношений.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D08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Второе отличие</w:t>
      </w:r>
      <w:r w:rsidRPr="00AE6B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E6BF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Введено понятие “</w:t>
      </w:r>
      <w:proofErr w:type="gramStart"/>
      <w:r w:rsidRPr="00AE6BF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обучение по охране</w:t>
      </w:r>
      <w:proofErr w:type="gramEnd"/>
      <w:r w:rsidRPr="00AE6BF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труда”.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Впервые в нормативном акте определено, что </w:t>
      </w:r>
      <w:proofErr w:type="gramStart"/>
      <w:r w:rsidRPr="00DD087B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обучение по охране</w:t>
      </w:r>
      <w:proofErr w:type="gramEnd"/>
      <w:r w:rsidRPr="00DD087B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труда</w:t>
      </w:r>
      <w:r w:rsidRPr="00AE6BF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 – это процесс получения работниками, в том числе руководителями организаций, а также работодателями – индивидуальными предпринимателями знаний, умений, навыков, позволяющих формировать и развивать необходимые компетенции с целью обеспечения безопасности труда, сохранения жизни и здоровья. Работники, в том числе руководители организаций, и работодатели – индивидуальные предприниматели обязаны проходить </w:t>
      </w:r>
      <w:proofErr w:type="gramStart"/>
      <w:r w:rsidRPr="00AE6BF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обучение по охране</w:t>
      </w:r>
      <w:proofErr w:type="gramEnd"/>
      <w:r w:rsidRPr="00AE6BF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труда и проверку знания требований охраны труда</w:t>
      </w: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 </w:t>
      </w:r>
      <w:proofErr w:type="gramStart"/>
      <w:r w:rsidRPr="00AE6B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обучению по охране</w:t>
      </w:r>
      <w:proofErr w:type="gramEnd"/>
      <w:r w:rsidRPr="00AE6B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труда не подлежат</w:t>
      </w: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работодатели – физические лица, не являющихся ИП, то есть </w:t>
      </w:r>
      <w:r w:rsidRPr="00AE6B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те, кто нанимают работников для личного обслуживания и помощи в домашнем хозяйстве</w:t>
      </w: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(ч. 5 ст. 20 ТК РФ).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D08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Третье отличие</w:t>
      </w:r>
      <w:r w:rsidRPr="00AE6B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AE6BF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Обучение по охране</w:t>
      </w:r>
      <w:proofErr w:type="gramEnd"/>
      <w:r w:rsidRPr="00AE6BF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труда теперь складывается из пяти элементов и предусматривает получение знаний, умений и навыков в ходе проведения:</w:t>
      </w:r>
    </w:p>
    <w:p w:rsidR="00AE6BF8" w:rsidRPr="00AE6BF8" w:rsidRDefault="00AE6BF8" w:rsidP="004E7424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инструктажи по охране труда;</w:t>
      </w:r>
    </w:p>
    <w:p w:rsidR="00AE6BF8" w:rsidRPr="00AE6BF8" w:rsidRDefault="00AE6BF8" w:rsidP="004E7424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стажировки на рабочем месте (для определенных категорий работников);</w:t>
      </w:r>
    </w:p>
    <w:p w:rsidR="00AE6BF8" w:rsidRPr="00AE6BF8" w:rsidRDefault="00AE6BF8" w:rsidP="004E7424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 по оказанию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первой помощи пострадавшим;</w:t>
      </w:r>
    </w:p>
    <w:p w:rsidR="00AE6BF8" w:rsidRPr="00AE6BF8" w:rsidRDefault="00AE6BF8" w:rsidP="004E7424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 по использованию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(применению) средств индивидуальной защиты;</w:t>
      </w:r>
    </w:p>
    <w:p w:rsidR="00AE6BF8" w:rsidRPr="00AE6BF8" w:rsidRDefault="00AE6BF8" w:rsidP="004E7424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 по охране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труда у работодателя, в том числе обучения безопасным методам и приёмам выполнения работ, или в организациях, оказывающих услуги по проведению обучения по охране труда.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Ранее, стажировка на рабочем месте, обучение оказанию первой помощи и обучение использованию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СИЗ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самостоятельными видами обучения не были.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Безусловно, всё это нашло отражение в подзаконном акте</w:t>
      </w:r>
      <w:r w:rsidR="00DD08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D087B" w:rsidRDefault="00DD087B" w:rsidP="00DD087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AE6BF8" w:rsidRPr="00AE6BF8" w:rsidRDefault="00AE6BF8" w:rsidP="00DD087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обучения вступят в силу в два приёма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Новые Правила обучения вступят в силу 1 сентября 2022 г., но ряд требований будут применяться только с 1 марта 2023 года, а именно положения, касающиеся (раздел XI Правил, а также п.99, 104-116, 118, 119):</w:t>
      </w:r>
    </w:p>
    <w:p w:rsidR="00AE6BF8" w:rsidRPr="00AE6BF8" w:rsidRDefault="00AE6BF8" w:rsidP="004E7424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ведения реестров тех, кто обучает и тех, кто обучен по охране труда;</w:t>
      </w:r>
    </w:p>
    <w:p w:rsidR="00AE6BF8" w:rsidRPr="00AE6BF8" w:rsidRDefault="00AE6BF8" w:rsidP="004E7424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проверки знаний с использованием единого портала;</w:t>
      </w:r>
    </w:p>
    <w:p w:rsidR="00AE6BF8" w:rsidRPr="00AE6BF8" w:rsidRDefault="00AE6BF8" w:rsidP="004E7424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внесения информации об обучении работников в личный кабинет работодателя на портале ЕСИОТ Минтруда.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Оператором ЕСИОТ является Минтруд. Положение о единой общероссийской справочно-информационной системе по охране труда утверждено приказом </w:t>
      </w:r>
      <w:proofErr w:type="spell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Минздравсоцразвития</w:t>
      </w:r>
      <w:proofErr w:type="spell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России от 6 октября 2011 г. № 1137.</w:t>
      </w:r>
    </w:p>
    <w:p w:rsidR="00AE6BF8" w:rsidRDefault="00AE6BF8" w:rsidP="00DD087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Официальный сайт </w:t>
      </w:r>
      <w:r w:rsidRPr="00AE6B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ЕСИОТ Минтруда</w:t>
      </w:r>
    </w:p>
    <w:p w:rsidR="00DD087B" w:rsidRPr="00AE6BF8" w:rsidRDefault="00DD087B" w:rsidP="00DD087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E6BF8" w:rsidRPr="00AE6BF8" w:rsidRDefault="00AE6BF8" w:rsidP="00DD087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Кто попадает под </w:t>
      </w:r>
      <w:proofErr w:type="gramStart"/>
      <w:r w:rsidRPr="00AE6B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обучение по охране</w:t>
      </w:r>
      <w:proofErr w:type="gramEnd"/>
      <w:r w:rsidRPr="00AE6B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труда</w:t>
      </w:r>
    </w:p>
    <w:p w:rsidR="00AE6BF8" w:rsidRPr="00AE6BF8" w:rsidRDefault="00DD087B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вы наняли работника, чтоб помочь вам в огороде</w:t>
      </w:r>
      <w:r w:rsidR="00AE6BF8"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то ни вы, ни ваш помощник не обязаны проходить </w:t>
      </w:r>
      <w:proofErr w:type="gramStart"/>
      <w:r w:rsidR="00AE6BF8"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 по охране</w:t>
      </w:r>
      <w:proofErr w:type="gramEnd"/>
      <w:r w:rsidR="00AE6BF8"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труда и это чётко указано в ТК и, соответственно, в новых правилах обучения по охране труда, но это не единственное исключение.</w:t>
      </w:r>
    </w:p>
    <w:p w:rsidR="00AE6BF8" w:rsidRPr="00AE6BF8" w:rsidRDefault="00DD087B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726FF5B" wp14:editId="5E1F43DD">
            <wp:simplePos x="0" y="0"/>
            <wp:positionH relativeFrom="column">
              <wp:posOffset>405765</wp:posOffset>
            </wp:positionH>
            <wp:positionV relativeFrom="paragraph">
              <wp:posOffset>1009015</wp:posOffset>
            </wp:positionV>
            <wp:extent cx="4309110" cy="2956560"/>
            <wp:effectExtent l="0" t="0" r="0" b="0"/>
            <wp:wrapThrough wrapText="bothSides">
              <wp:wrapPolygon edited="0">
                <wp:start x="0" y="0"/>
                <wp:lineTo x="0" y="21433"/>
                <wp:lineTo x="21485" y="21433"/>
                <wp:lineTo x="21485" y="0"/>
                <wp:lineTo x="0" y="0"/>
              </wp:wrapPolygon>
            </wp:wrapThrough>
            <wp:docPr id="3" name="Рисунок 3" descr="схема обучения по охране труд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обучения по охране труд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BF8"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Правила не распространяются на обучение, предусмотренное специальными требованиями. В качестве примера такого “совместного действия” норм по обучению можно привести обучение по электробезопасности, высоте, тепловым установкам и т.п. Так, промышленный альпинист должен быть обучен по профессии, по правилам охраны труда при работе на высоте и по всем программам в рамках </w:t>
      </w:r>
      <w:proofErr w:type="gramStart"/>
      <w:r w:rsidR="00AE6BF8"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обучения по охране</w:t>
      </w:r>
      <w:proofErr w:type="gramEnd"/>
      <w:r w:rsidR="00AE6BF8"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труда.</w:t>
      </w:r>
    </w:p>
    <w:p w:rsidR="00AE6BF8" w:rsidRPr="00AE6BF8" w:rsidRDefault="00AE6BF8" w:rsidP="00DD087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D087B" w:rsidRDefault="00DD087B" w:rsidP="00DD08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</w:p>
    <w:p w:rsidR="00DD087B" w:rsidRDefault="00DD087B" w:rsidP="00DD08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</w:p>
    <w:p w:rsidR="00DD087B" w:rsidRDefault="00DD087B" w:rsidP="00DD08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</w:p>
    <w:p w:rsidR="00DD087B" w:rsidRDefault="00DD087B" w:rsidP="00DD08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</w:p>
    <w:p w:rsidR="00DD087B" w:rsidRDefault="00DD087B" w:rsidP="00DD08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</w:p>
    <w:p w:rsidR="00DD087B" w:rsidRDefault="00DD087B" w:rsidP="00DD08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</w:p>
    <w:p w:rsidR="00DD087B" w:rsidRDefault="00DD087B" w:rsidP="00DD08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</w:p>
    <w:p w:rsidR="00DD087B" w:rsidRDefault="00DD087B" w:rsidP="00DD08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</w:p>
    <w:p w:rsidR="00DD087B" w:rsidRDefault="00DD087B" w:rsidP="00DD08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</w:p>
    <w:p w:rsidR="00DD087B" w:rsidRDefault="00DD087B" w:rsidP="00DD08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</w:p>
    <w:p w:rsidR="00DD087B" w:rsidRDefault="00DD087B" w:rsidP="00DD08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</w:p>
    <w:p w:rsidR="00DD087B" w:rsidRDefault="00DD087B" w:rsidP="00DD08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</w:p>
    <w:p w:rsidR="00DD087B" w:rsidRDefault="00DD087B" w:rsidP="00DD08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</w:p>
    <w:p w:rsidR="00DD087B" w:rsidRDefault="00DD087B" w:rsidP="00DD08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</w:p>
    <w:p w:rsidR="00AE6BF8" w:rsidRPr="00AE6BF8" w:rsidRDefault="00AE6BF8" w:rsidP="00DD08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Рис. 1. Виды обучения для промышленного альпиниста, работающего канатным доступом, и документы, подтверждающие их успешное прохождение</w:t>
      </w:r>
    </w:p>
    <w:p w:rsidR="00DD087B" w:rsidRDefault="00DD087B" w:rsidP="00DD087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случае проведения обучения по охране труда работников, осуществляющих трудовую деятельность в сфере электроэнергетики или сфере теплоснабжения, в рамках подготовки таких работников к аттестации в области (по вопросам) безопасности в соответствующей сфере (области) или подготовки и подтверждения готовности к работе дополнительное обучение по охране труда и проверка знаний требований охраны труда не требуются.</w:t>
      </w:r>
      <w:proofErr w:type="gramEnd"/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Повторное же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 по охране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труда и проверка знания требований охраны труда не требуются:</w:t>
      </w:r>
    </w:p>
    <w:p w:rsidR="00AE6BF8" w:rsidRPr="00AE6BF8" w:rsidRDefault="00AE6BF8" w:rsidP="004E7424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переводе работника, прошедшего необходимое ему в соответствии с Правилами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 по охране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труда, на другую должность;</w:t>
      </w:r>
    </w:p>
    <w:p w:rsidR="00AE6BF8" w:rsidRDefault="00AE6BF8" w:rsidP="004E7424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изменении наименования его рабочего места или структурного подразделения.</w:t>
      </w:r>
    </w:p>
    <w:p w:rsidR="00DD087B" w:rsidRPr="00AE6BF8" w:rsidRDefault="00DD087B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Важно! Повторное обучение не требуется, если сохраняются условия труда работника, а также идентифицированные ранее источники опасности.</w:t>
      </w:r>
    </w:p>
    <w:p w:rsidR="00DD087B" w:rsidRPr="00AE6BF8" w:rsidRDefault="00DD087B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E6BF8" w:rsidRPr="00AE6BF8" w:rsidRDefault="00DD087B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087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</w:t>
      </w:r>
      <w:r w:rsidR="00AE6BF8" w:rsidRPr="00AE6BF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ридётся ли переобучаться по охране труда в связи с вступлением в силу новых Правил обучения?</w:t>
      </w:r>
      <w:r w:rsidR="00AE6BF8"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Документы, подтверждающие проверку у работников знания требований охраны труда, выданные в соответствии с Порядком 1/29 до введения в действие Правил, действительны до окончания срока их действия (п.2 Правил).</w:t>
      </w:r>
    </w:p>
    <w:p w:rsid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Например, если работодатель проведёт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 по оказанию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первой помощи пострадавшим в июне 2022 года, переучивать всех в сентябре не нужно.</w:t>
      </w:r>
    </w:p>
    <w:p w:rsidR="00DD087B" w:rsidRPr="00AE6BF8" w:rsidRDefault="00DD087B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E6BF8" w:rsidRPr="00AE6BF8" w:rsidRDefault="00AE6BF8" w:rsidP="00DD087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Требования к обучающим организациям стали жёстче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Итак, взамен Порядка правительство утвердило Правила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обучения по охране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труда и проверки знания требований охраны труда. Правила устанавливают обязательные требования:</w:t>
      </w:r>
    </w:p>
    <w:p w:rsidR="00AE6BF8" w:rsidRPr="00AE6BF8" w:rsidRDefault="00AE6BF8" w:rsidP="004E7424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обучению по охране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труда и проверке знания требований охраны труда у работников, заключивших трудовой договор с работодателем;</w:t>
      </w:r>
    </w:p>
    <w:p w:rsidR="00AE6BF8" w:rsidRPr="00AE6BF8" w:rsidRDefault="00AE6BF8" w:rsidP="004E7424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организациям и индивидуальным предпринимателям, оказывающим услуги по обучению работодателей и работников вопросам охраны труда.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Организации и индивидуальные предприниматели, оказывающие услуги по обучению работодателей и работников вопросам охраны труда, должны быть аккредитованы и соответствовать установленным требованиям.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Постановлением Правительства РФ от 16 декабря 2021 г. № 2334 утверждены:</w:t>
      </w:r>
    </w:p>
    <w:p w:rsidR="00AE6BF8" w:rsidRPr="00AE6BF8" w:rsidRDefault="00AE6BF8" w:rsidP="004E7424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Правила аккредитации организаций, индивидуальных предпринимателей, оказывающих услуги в области охраны труда.</w:t>
      </w:r>
    </w:p>
    <w:p w:rsidR="00AE6BF8" w:rsidRPr="00AE6BF8" w:rsidRDefault="00AE6BF8" w:rsidP="004E7424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Требования к организациям и индивидуальным предпринимателям, оказывающим услуги в области охраны труда.</w:t>
      </w:r>
    </w:p>
    <w:p w:rsidR="002D555A" w:rsidRDefault="002D555A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Новые требования аккредитации вступят в силу 1 сентября 2022 г., а с 1 марта 2023 г. все аккредитации, оформленные по-старому, будут приостановлены. Если образовательная организация не аккредитуется в установленный срок, то с 1 сентября 2023 г. она будет исключена из реестра аккредитованных организаций, оказывающих услуги в области охраны труда, и утратит право обучать по охране труда.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аккредитованные организации должны до 1 марта 2023 года подтвердить соответствие Требованиям.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Прежде, чем оформлять заявку на обучение работников, убедитесь, что образовательная организация имеет действующую лицензию и аккредитацию.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сайте Минтруда можно проверить </w:t>
      </w:r>
      <w:r w:rsidRPr="002D55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аккредитации обучающей организации</w:t>
      </w:r>
      <w:r w:rsidRPr="00AE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Запросите у образовательной организации письмо-уведомление Минтруда о внесении в реестр.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Оказание образовательных услуг – лицензируемый вид деятельности. Действительность лицензии можно проверить на сайте </w:t>
      </w:r>
      <w:proofErr w:type="spellStart"/>
      <w:r w:rsidRPr="00AE6B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Рособрнадзора</w:t>
      </w:r>
      <w:proofErr w:type="spell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555A" w:rsidRPr="002D555A" w:rsidRDefault="002D555A" w:rsidP="00DD087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E6BF8" w:rsidRPr="00AE6BF8" w:rsidRDefault="00AE6BF8" w:rsidP="00DD087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Общие требования к </w:t>
      </w:r>
      <w:proofErr w:type="gramStart"/>
      <w:r w:rsidRPr="00AE6B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обучению по охране</w:t>
      </w:r>
      <w:proofErr w:type="gramEnd"/>
      <w:r w:rsidRPr="00AE6B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труда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Введены новые нормы.</w:t>
      </w:r>
    </w:p>
    <w:p w:rsid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работник обучен в соответствии с новыми Правилами, то при переводе на другую должность,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случае, если сохраняются условия труда работника, а также идентифицированные ранее источники опасности (п.7 Правил).</w:t>
      </w:r>
      <w:proofErr w:type="gramEnd"/>
    </w:p>
    <w:p w:rsidR="002D555A" w:rsidRPr="00AE6BF8" w:rsidRDefault="002D555A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Работники электроэнергетических и теплоснабжающих предприятий проходят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 по охране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труда в рамках подготовки к аттестации или в процессе подтверждения готовности и дополнительное обучение по охране труда и им не требуются (п.6 Правил).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Исключены нормы о том, что:</w:t>
      </w:r>
    </w:p>
    <w:p w:rsidR="00AE6BF8" w:rsidRPr="00AE6BF8" w:rsidRDefault="00AE6BF8" w:rsidP="004E7424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федеральные, региональные, местные органы власти могут устанавливать, дополнительные требования к организации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обучения по охране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труда для подведомственных им организаций;</w:t>
      </w:r>
    </w:p>
    <w:p w:rsidR="00AE6BF8" w:rsidRPr="00AE6BF8" w:rsidRDefault="00AE6BF8" w:rsidP="004E7424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работники Минтруда, </w:t>
      </w:r>
      <w:proofErr w:type="spell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Роструда</w:t>
      </w:r>
      <w:proofErr w:type="spell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преподаватели охраны труда, квалифицированные специалисты в области охраны труда при стаже от 5 лет могут год не обучаться по охране труда с момента трудоустройства.</w:t>
      </w:r>
    </w:p>
    <w:p w:rsidR="009B2594" w:rsidRDefault="009B2594" w:rsidP="00DD087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AE6BF8" w:rsidRPr="00AE6BF8" w:rsidRDefault="00AE6BF8" w:rsidP="00DD087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Организация и проведение инструктажей по охране труда</w:t>
      </w:r>
    </w:p>
    <w:p w:rsidR="00AE6BF8" w:rsidRPr="00AE6BF8" w:rsidRDefault="00AE6BF8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новом Порядке предусматриваются следующие виды инструктажа по охране труда:</w:t>
      </w:r>
    </w:p>
    <w:p w:rsidR="00AE6BF8" w:rsidRPr="00AE6BF8" w:rsidRDefault="00AE6BF8" w:rsidP="004E7424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вводный инструктаж по охране труда;</w:t>
      </w:r>
    </w:p>
    <w:p w:rsidR="00AE6BF8" w:rsidRPr="00AE6BF8" w:rsidRDefault="00AE6BF8" w:rsidP="004E7424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инструктаж по охране труда на рабочем месте (первичный, повторный, внеплановый);</w:t>
      </w:r>
    </w:p>
    <w:p w:rsidR="00AE6BF8" w:rsidRPr="00AE6BF8" w:rsidRDefault="00AE6BF8" w:rsidP="004E7424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целевой инструктаж по охране труда.</w:t>
      </w:r>
    </w:p>
    <w:p w:rsidR="008C4C5B" w:rsidRDefault="008C4C5B" w:rsidP="004E7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C4C5B" w:rsidRDefault="00AE6BF8" w:rsidP="004E7424">
      <w:pPr>
        <w:shd w:val="clear" w:color="auto" w:fill="FFFFFF"/>
        <w:spacing w:after="0"/>
        <w:ind w:hanging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Законодатели впервые </w:t>
      </w:r>
      <w:r w:rsidRPr="00AE6B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исключили целевой инструктаж из инструктажей на рабочем месте</w:t>
      </w:r>
      <w:r w:rsidR="008C4C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C4C5B" w:rsidRDefault="008C4C5B" w:rsidP="004E7424">
      <w:pPr>
        <w:shd w:val="clear" w:color="auto" w:fill="FFFFFF"/>
        <w:spacing w:after="0"/>
        <w:ind w:hanging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C4C5B" w:rsidRDefault="00AE6BF8" w:rsidP="004E7424">
      <w:pPr>
        <w:shd w:val="clear" w:color="auto" w:fill="FFFFFF"/>
        <w:spacing w:after="0"/>
        <w:ind w:hanging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Информацию о том, кто и какой инструктаж должен пройти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систематизирова</w:t>
      </w:r>
      <w:r w:rsidR="008C4C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="008C4C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табличном</w:t>
      </w:r>
    </w:p>
    <w:p w:rsidR="00AE6BF8" w:rsidRPr="00AE6BF8" w:rsidRDefault="00AE6BF8" w:rsidP="004E7424">
      <w:pPr>
        <w:shd w:val="clear" w:color="auto" w:fill="FFFFFF"/>
        <w:spacing w:after="0"/>
        <w:ind w:hanging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виде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tbl>
      <w:tblPr>
        <w:tblW w:w="10490" w:type="dxa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843"/>
        <w:gridCol w:w="1701"/>
        <w:gridCol w:w="1842"/>
        <w:gridCol w:w="1843"/>
      </w:tblGrid>
      <w:tr w:rsidR="00B451C9" w:rsidRPr="00AE6BF8" w:rsidTr="00B451C9">
        <w:tc>
          <w:tcPr>
            <w:tcW w:w="156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bookmarkEnd w:id="0"/>
          <w:p w:rsidR="00AE6BF8" w:rsidRPr="00AE6BF8" w:rsidRDefault="00AE6BF8" w:rsidP="00DD08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2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Критерии сравнения</w:t>
            </w:r>
          </w:p>
        </w:tc>
        <w:tc>
          <w:tcPr>
            <w:tcW w:w="1701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2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Вводный инструктаж</w:t>
            </w:r>
          </w:p>
        </w:tc>
        <w:tc>
          <w:tcPr>
            <w:tcW w:w="5386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2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Инструктаж </w:t>
            </w:r>
            <w:proofErr w:type="gramStart"/>
            <w:r w:rsidRPr="009B2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</w:t>
            </w:r>
            <w:proofErr w:type="gramEnd"/>
            <w:r w:rsidRPr="009B2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ОТ на рабочем месте (первичный и повторный)</w:t>
            </w:r>
          </w:p>
        </w:tc>
        <w:tc>
          <w:tcPr>
            <w:tcW w:w="1843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2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Целевой инструктаж</w:t>
            </w:r>
          </w:p>
        </w:tc>
      </w:tr>
      <w:tr w:rsidR="00B451C9" w:rsidRPr="00AE6BF8" w:rsidTr="00B451C9">
        <w:tc>
          <w:tcPr>
            <w:tcW w:w="1560" w:type="dxa"/>
            <w:vMerge/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2594">
              <w:rPr>
                <w:rFonts w:ascii="Times New Roman" w:eastAsia="Times New Roman" w:hAnsi="Times New Roman" w:cs="Times New Roman"/>
                <w:bCs/>
                <w:lang w:eastAsia="ru-RU"/>
              </w:rPr>
              <w:t>Первичный инструктаж</w:t>
            </w:r>
          </w:p>
        </w:tc>
        <w:tc>
          <w:tcPr>
            <w:tcW w:w="17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2594">
              <w:rPr>
                <w:rFonts w:ascii="Times New Roman" w:eastAsia="Times New Roman" w:hAnsi="Times New Roman" w:cs="Times New Roman"/>
                <w:bCs/>
                <w:lang w:eastAsia="ru-RU"/>
              </w:rPr>
              <w:t>Повторный инструктаж</w:t>
            </w:r>
          </w:p>
        </w:tc>
        <w:tc>
          <w:tcPr>
            <w:tcW w:w="184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2594">
              <w:rPr>
                <w:rFonts w:ascii="Times New Roman" w:eastAsia="Times New Roman" w:hAnsi="Times New Roman" w:cs="Times New Roman"/>
                <w:bCs/>
                <w:lang w:eastAsia="ru-RU"/>
              </w:rPr>
              <w:t>Внеплановый инструктаж</w:t>
            </w:r>
          </w:p>
        </w:tc>
        <w:tc>
          <w:tcPr>
            <w:tcW w:w="1843" w:type="dxa"/>
            <w:vMerge/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51C9" w:rsidRPr="00AE6BF8" w:rsidTr="00B451C9">
        <w:tc>
          <w:tcPr>
            <w:tcW w:w="156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Кто проходит инструктаж</w:t>
            </w:r>
          </w:p>
        </w:tc>
        <w:tc>
          <w:tcPr>
            <w:tcW w:w="17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Все вновь принятые работники</w:t>
            </w:r>
          </w:p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Лица, участвующие в производственной деятельности работодателя (командированные работники, практиканты)</w:t>
            </w:r>
          </w:p>
        </w:tc>
        <w:tc>
          <w:tcPr>
            <w:tcW w:w="184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Все работники до начала самостоятельной работы</w:t>
            </w:r>
          </w:p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Практиканты</w:t>
            </w:r>
          </w:p>
        </w:tc>
        <w:tc>
          <w:tcPr>
            <w:tcW w:w="17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Все работники</w:t>
            </w:r>
          </w:p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B2594" w:rsidRPr="009B2594" w:rsidRDefault="009B2594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2594" w:rsidRPr="009B2594" w:rsidRDefault="009B2594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Практиканты</w:t>
            </w:r>
          </w:p>
        </w:tc>
        <w:tc>
          <w:tcPr>
            <w:tcW w:w="184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Любые работники</w:t>
            </w:r>
          </w:p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по решению работодателя или требованию должностных лиц трудовой инспекции в случаях, установленных Правилами</w:t>
            </w:r>
          </w:p>
        </w:tc>
        <w:tc>
          <w:tcPr>
            <w:tcW w:w="184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Любые работники в случаях, установленных Правилами и работодателем</w:t>
            </w:r>
          </w:p>
        </w:tc>
      </w:tr>
      <w:tr w:rsidR="00B451C9" w:rsidRPr="00AE6BF8" w:rsidTr="00B451C9">
        <w:tc>
          <w:tcPr>
            <w:tcW w:w="1560" w:type="dxa"/>
            <w:vMerge/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См.: п. 10 Правил</w:t>
            </w:r>
          </w:p>
        </w:tc>
        <w:tc>
          <w:tcPr>
            <w:tcW w:w="184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См.: п. 13 Правил</w:t>
            </w:r>
          </w:p>
        </w:tc>
        <w:tc>
          <w:tcPr>
            <w:tcW w:w="17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См.: п. 15 Правил</w:t>
            </w:r>
          </w:p>
        </w:tc>
        <w:tc>
          <w:tcPr>
            <w:tcW w:w="184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См.: п. 16 Правил</w:t>
            </w:r>
          </w:p>
        </w:tc>
        <w:tc>
          <w:tcPr>
            <w:tcW w:w="184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См.: п. 19 Правил</w:t>
            </w:r>
          </w:p>
        </w:tc>
      </w:tr>
      <w:tr w:rsidR="00B451C9" w:rsidRPr="00AE6BF8" w:rsidTr="009B2594">
        <w:tc>
          <w:tcPr>
            <w:tcW w:w="156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Кто проводит инструктаж</w:t>
            </w:r>
          </w:p>
        </w:tc>
        <w:tc>
          <w:tcPr>
            <w:tcW w:w="17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Специалист по охране труда</w:t>
            </w:r>
          </w:p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Работник, уполномоченный приказом на проведение инструктажа</w:t>
            </w:r>
          </w:p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При отсутствии специалиста по охране труда инструктаж может проводить руководитель организации или специалист по гражданско-правовому договору</w:t>
            </w:r>
          </w:p>
        </w:tc>
        <w:tc>
          <w:tcPr>
            <w:tcW w:w="3544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Непосредственный руководитель работника</w:t>
            </w:r>
          </w:p>
        </w:tc>
        <w:tc>
          <w:tcPr>
            <w:tcW w:w="184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Непосредственный руководитель работ</w:t>
            </w:r>
          </w:p>
        </w:tc>
      </w:tr>
      <w:tr w:rsidR="00B451C9" w:rsidRPr="00AE6BF8" w:rsidTr="00B451C9">
        <w:tc>
          <w:tcPr>
            <w:tcW w:w="1560" w:type="dxa"/>
            <w:vMerge/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См.: п. 11 Правил</w:t>
            </w:r>
          </w:p>
        </w:tc>
        <w:tc>
          <w:tcPr>
            <w:tcW w:w="184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См.: п. 22 Правил</w:t>
            </w:r>
          </w:p>
        </w:tc>
        <w:tc>
          <w:tcPr>
            <w:tcW w:w="17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См.: п. 22 Правил</w:t>
            </w:r>
          </w:p>
        </w:tc>
      </w:tr>
      <w:tr w:rsidR="00B451C9" w:rsidRPr="00AE6BF8" w:rsidTr="00B451C9">
        <w:tc>
          <w:tcPr>
            <w:tcW w:w="156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Периодичность проведения инструктажа</w:t>
            </w:r>
          </w:p>
        </w:tc>
        <w:tc>
          <w:tcPr>
            <w:tcW w:w="17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1 раз до начала выполнения трудовых функций работника</w:t>
            </w:r>
          </w:p>
        </w:tc>
        <w:tc>
          <w:tcPr>
            <w:tcW w:w="184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1 раз до начала самостоятель</w:t>
            </w: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работы. Допускается освобождение от прохождения первичного инструктажа работников, чья трудовая деятельность связана только с персональными ком</w:t>
            </w: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softHyphen/>
              <w:t>пьютерами (оргтехникой) и при классе условий труда 1 или 2.</w:t>
            </w:r>
          </w:p>
        </w:tc>
        <w:tc>
          <w:tcPr>
            <w:tcW w:w="17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Не реже 1 раза в 6 месяцев.</w:t>
            </w:r>
          </w:p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Повторный инструктаж не проводится для работников, освобожденных от прохожде</w:t>
            </w: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 первичного инструктажа</w:t>
            </w:r>
          </w:p>
        </w:tc>
        <w:tc>
          <w:tcPr>
            <w:tcW w:w="184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 и в сроки, указанные в ЛНД работодателя</w:t>
            </w:r>
          </w:p>
        </w:tc>
        <w:tc>
          <w:tcPr>
            <w:tcW w:w="184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 перед началом работ повышенной опасности по наряду-допуску, работах на проезжей части дорог и железнодорожных путях.</w:t>
            </w:r>
          </w:p>
        </w:tc>
      </w:tr>
      <w:tr w:rsidR="00B451C9" w:rsidRPr="00AE6BF8" w:rsidTr="00B451C9">
        <w:tc>
          <w:tcPr>
            <w:tcW w:w="1560" w:type="dxa"/>
            <w:vMerge/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См.: п. 10 Правил</w:t>
            </w:r>
          </w:p>
        </w:tc>
        <w:tc>
          <w:tcPr>
            <w:tcW w:w="184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См.: п. 13 Правил</w:t>
            </w:r>
          </w:p>
        </w:tc>
        <w:tc>
          <w:tcPr>
            <w:tcW w:w="17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 xml:space="preserve">См.: </w:t>
            </w:r>
            <w:proofErr w:type="spellStart"/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. 4-15 Правил</w:t>
            </w:r>
          </w:p>
        </w:tc>
        <w:tc>
          <w:tcPr>
            <w:tcW w:w="184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 xml:space="preserve">См.: </w:t>
            </w:r>
            <w:proofErr w:type="spellStart"/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. 16-7 Правил</w:t>
            </w:r>
          </w:p>
        </w:tc>
        <w:tc>
          <w:tcPr>
            <w:tcW w:w="184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См.: п. 19 Правил</w:t>
            </w:r>
          </w:p>
        </w:tc>
      </w:tr>
      <w:tr w:rsidR="00B451C9" w:rsidRPr="00AE6BF8" w:rsidTr="00B451C9">
        <w:tc>
          <w:tcPr>
            <w:tcW w:w="156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Чем завершается инструктаж</w:t>
            </w:r>
          </w:p>
        </w:tc>
        <w:tc>
          <w:tcPr>
            <w:tcW w:w="8930" w:type="dxa"/>
            <w:gridSpan w:val="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Проверка знания требований охраны труда по форме, определенной в ЛНА организации</w:t>
            </w:r>
          </w:p>
        </w:tc>
      </w:tr>
      <w:tr w:rsidR="00B451C9" w:rsidRPr="00AE6BF8" w:rsidTr="00B451C9">
        <w:tc>
          <w:tcPr>
            <w:tcW w:w="1560" w:type="dxa"/>
            <w:vMerge/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0" w:type="dxa"/>
            <w:gridSpan w:val="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 xml:space="preserve">См.: </w:t>
            </w:r>
            <w:proofErr w:type="spellStart"/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AE6BF8">
              <w:rPr>
                <w:rFonts w:ascii="Times New Roman" w:eastAsia="Times New Roman" w:hAnsi="Times New Roman" w:cs="Times New Roman"/>
                <w:lang w:eastAsia="ru-RU"/>
              </w:rPr>
              <w:t>. 23,68-69 Правил</w:t>
            </w:r>
          </w:p>
        </w:tc>
      </w:tr>
    </w:tbl>
    <w:p w:rsidR="00B451C9" w:rsidRDefault="00B451C9" w:rsidP="00DD087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AE6BF8" w:rsidRPr="00AE6BF8" w:rsidRDefault="00AE6BF8" w:rsidP="00DD087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Виды инструктажей по охране труда и их регистрация</w:t>
      </w:r>
    </w:p>
    <w:p w:rsidR="009B2594" w:rsidRDefault="009B2594" w:rsidP="00DD087B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AE6BF8" w:rsidRPr="00AE6BF8" w:rsidRDefault="00AE6BF8" w:rsidP="009B2594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Вводный инструктаж</w:t>
      </w:r>
    </w:p>
    <w:p w:rsidR="00AE6BF8" w:rsidRPr="00AE6BF8" w:rsidRDefault="00AE6BF8" w:rsidP="008C4C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Вводный инструктаж по охране труда работникам подрядных (сторонних организаций) проводится только в том случае, если они участвую в производственной деятельности.</w:t>
      </w:r>
    </w:p>
    <w:p w:rsidR="00AE6BF8" w:rsidRPr="00AE6BF8" w:rsidRDefault="00AE6BF8" w:rsidP="008C4C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этом нужно разобраться, что означает лица, участвующие в производственной деятельности.</w:t>
      </w:r>
    </w:p>
    <w:p w:rsidR="00AE6BF8" w:rsidRPr="00AE6BF8" w:rsidRDefault="00AE6BF8" w:rsidP="008C4C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Определение этого понятия в новой редакции ТК РФ изменений не претерпело и по-прежнему содержится в ст. 209:</w:t>
      </w:r>
    </w:p>
    <w:p w:rsidR="00AE6BF8" w:rsidRPr="00AE6BF8" w:rsidRDefault="009B2594" w:rsidP="008C4C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ab/>
      </w:r>
      <w:r w:rsidR="00AE6BF8" w:rsidRPr="009B2594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Производственная деятельность</w:t>
      </w:r>
      <w:r w:rsidR="00AE6BF8"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совокупность действий работников с применением сре</w:t>
      </w:r>
      <w:proofErr w:type="gramStart"/>
      <w:r w:rsidR="00AE6BF8"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дств тр</w:t>
      </w:r>
      <w:proofErr w:type="gramEnd"/>
      <w:r w:rsidR="00AE6BF8"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услуг.</w:t>
      </w:r>
    </w:p>
    <w:p w:rsidR="00AE6BF8" w:rsidRPr="00AE6BF8" w:rsidRDefault="009B2594" w:rsidP="008C4C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AE6BF8"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Вводный инструктаж с лицом, выполнявшим работу на территории другого работодателя, проводится работодателем (его представителем), по поручению которого выполняется работа. Это означает, что если подрядчик привлекает субподрядчика, сам и проводит с ним вводный инструктаж. Проводить с ним инструктаж организации-заказчику не нужно.</w:t>
      </w:r>
    </w:p>
    <w:p w:rsidR="00AE6BF8" w:rsidRPr="00AE6BF8" w:rsidRDefault="00AE6BF8" w:rsidP="008C4C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лицом, выполнявшим по поручению работодателя (его представителя) работу на выделенном в установленном порядке участке другого работодателя, инструктаж проводится работодателем, производящим эту работу. Проводить с ним инструктаж организации-заказчику не нужно.</w:t>
      </w:r>
    </w:p>
    <w:p w:rsidR="00AE6BF8" w:rsidRPr="00AE6BF8" w:rsidRDefault="00AE6BF8" w:rsidP="008C4C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Вводный инструктаж проводится по утверждённой программе. Его проводит специалист по охране труда или другой назначенный приказом специалист, в том числе ИП по договору ГПХ.</w:t>
      </w:r>
    </w:p>
    <w:p w:rsidR="00AE6BF8" w:rsidRPr="00AE6BF8" w:rsidRDefault="00AE6BF8" w:rsidP="008C4C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Форму проведения инструктажа можно выбрать любую (от устного пересказа до демонстрации </w:t>
      </w:r>
      <w:proofErr w:type="spell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видероликов</w:t>
      </w:r>
      <w:proofErr w:type="spell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AE6BF8" w:rsidRPr="00AE6BF8" w:rsidRDefault="00AE6BF8" w:rsidP="008C4C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Программа инструктажа придётся существенно пересмотреть, придерживаясь тематики и последовательности изложения,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указанных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приложении 1 </w:t>
      </w:r>
      <w:r w:rsidR="008C4C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Правилам.</w:t>
      </w:r>
    </w:p>
    <w:p w:rsidR="008C4C5B" w:rsidRDefault="008C4C5B" w:rsidP="00DD087B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8C4C5B" w:rsidRDefault="008C4C5B" w:rsidP="00DD087B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AE6BF8" w:rsidRPr="00AE6BF8" w:rsidRDefault="00AE6BF8" w:rsidP="008C4C5B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Первичный инструктаж</w:t>
      </w:r>
    </w:p>
    <w:p w:rsidR="00AE6BF8" w:rsidRPr="00AE6BF8" w:rsidRDefault="00AE6BF8" w:rsidP="008C4C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Допускается освобождение отдельных категорий работников от прохождения первичного инструктажа по охране труда в случае, если их трудовая деятельность связана с опасностью, источниками которой являются персональные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электронно- вычислительные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машины (персональные компьютеры), аппараты копировально-множительной техники настольного типа, единичные стационарные копировально-множительные аппараты, используемые периодически для нужд самой организации, иная офисная организационная техника, а также бытовая техника, не используемая в технологическом процессе производства, и при этом другие источники опасности отсутствуют, а условия труда по результатам проведения СОУТ являются оптимальными или допустимыми (класс 1 или 2).</w:t>
      </w:r>
    </w:p>
    <w:p w:rsidR="00AE6BF8" w:rsidRDefault="00AE6BF8" w:rsidP="008C4C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Информация о безопасных методах и приёмах выполнения работ для освобожденных от инструктажа при наличии такой опасности должна быть включена в программу вводного инструктажа по охране труда.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E6BF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Не забудьте, что перечень профессий и должностей работников, освобождённых от прохождения первичного инструктажа по охране труда, утверждается работодателем.</w:t>
      </w:r>
      <w:r w:rsidR="008C4C5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ab/>
      </w:r>
    </w:p>
    <w:p w:rsidR="008C4C5B" w:rsidRPr="00AE6BF8" w:rsidRDefault="008C4C5B" w:rsidP="008C4C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AE6BF8" w:rsidRDefault="00AE6BF8" w:rsidP="008C4C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Важно: не проводите первичный инструктаж с работниками подрядных организаций – у них есть для этого свой работодатель, он им и проведёт.</w:t>
      </w:r>
    </w:p>
    <w:p w:rsidR="008C4C5B" w:rsidRDefault="008C4C5B" w:rsidP="00DD087B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E6BF8" w:rsidRPr="00AE6BF8" w:rsidRDefault="00AE6BF8" w:rsidP="008C4C5B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Внеплановый инструктаж</w:t>
      </w:r>
    </w:p>
    <w:p w:rsidR="008C4C5B" w:rsidRDefault="00AE6BF8" w:rsidP="008C4C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Здесь произошли существенные изменения. Инструктаж можно проводить при перерыве в работе более 60 календарных дней. Ранее этот срок был в 2 раза короче. </w:t>
      </w:r>
    </w:p>
    <w:p w:rsidR="00AE6BF8" w:rsidRPr="00AE6BF8" w:rsidRDefault="00AE6BF8" w:rsidP="008C4C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Теперь появилось ещё одно основание для проведение внепланового инструктажа: выявление дополнительных к имеющимся на рабочем месте производственных факторов и источников опасности в рамках проведения СУОТ и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8C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профессиональных рисков</w:t>
      </w:r>
      <w:r w:rsidRPr="00AE6B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представляющих угрозу жизни и здоровью работников. Внеплановый инструктаж в этом случае нужно провести для информирования работников о мероприятиях, предусмотренных в локальных нормативных актах, разработанных с целью минимизации выявленных рисков.</w:t>
      </w:r>
    </w:p>
    <w:p w:rsidR="00AE6BF8" w:rsidRDefault="00AE6BF8" w:rsidP="008C4C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Наприме</w:t>
      </w:r>
      <w:r w:rsidRPr="00AE6BF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р</w:t>
      </w: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если вы выявили опасность обрушения части здания, нужно не только оградить опасную зону и установить знаки безопасности, но довести информацию до работников о возникшей опасности и рисках, которые она в себе несёт.</w:t>
      </w:r>
    </w:p>
    <w:p w:rsidR="008C4C5B" w:rsidRPr="00AE6BF8" w:rsidRDefault="008C4C5B" w:rsidP="008C4C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E6BF8" w:rsidRPr="00AE6BF8" w:rsidRDefault="00AE6BF8" w:rsidP="008C4C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Внеплановый инструктаж обязательно проводится ещё в двух случаях:</w:t>
      </w:r>
    </w:p>
    <w:p w:rsidR="00AE6BF8" w:rsidRPr="00AE6BF8" w:rsidRDefault="00AE6BF8" w:rsidP="008C4C5B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случае изменений в эксплуатации оборудования, технологических процессах, использовании сырья и материалов, влияющих на безопасность труда;</w:t>
      </w:r>
    </w:p>
    <w:p w:rsidR="00AE6BF8" w:rsidRPr="00AE6BF8" w:rsidRDefault="00AE6BF8" w:rsidP="008C4C5B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случае изменений в должностных (функциональных) обязанностей работников, непосредственно связанных с осуществлением производственной деятельности, влияющей на безопасность труда.</w:t>
      </w:r>
    </w:p>
    <w:p w:rsidR="00AE6BF8" w:rsidRPr="00AE6BF8" w:rsidRDefault="00AE6BF8" w:rsidP="008C4C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Указанные случаи являются основаниями для актуализации программ обучения требованиям охраны труда, оказанию первой помощи пострадавшим, использованию (применению)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СИЗ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об этом позже.</w:t>
      </w:r>
    </w:p>
    <w:p w:rsidR="00AE6BF8" w:rsidRPr="00AE6BF8" w:rsidRDefault="00AE6BF8" w:rsidP="008C4C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Обратите внимание! </w:t>
      </w: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связи с изменениями НПА,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содержащих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государственные нормативные требования охраны труда, затрагивающими непосредственно трудовые функции работника, а также изменениями ЛНА организации, затрагивающими требования охраны труда в организации, необходимо проводить внеплановый инструктаж.</w:t>
      </w:r>
    </w:p>
    <w:p w:rsidR="00AE6BF8" w:rsidRPr="00AE6BF8" w:rsidRDefault="00AE6BF8" w:rsidP="008C4C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сеть, если изменения в нормативных актах непосредственно не касаются производственной деятельности работника, не влечёт за собой изменений в ЛНА, связанных с выполнением работником его обязанностей, то внеплановый инструктаж проводить не нужно!</w:t>
      </w:r>
    </w:p>
    <w:p w:rsidR="00AE6BF8" w:rsidRPr="00AE6BF8" w:rsidRDefault="00AE6BF8" w:rsidP="008C4C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случае проведения внепланового обучения по охране труда в связи с вступлением в силу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НПА, содержащих государственные нормативные требования охраны труда, внеплановый инструктаж по охране труда разрешается не проводить (по основанию, предусмотренному подпунктом “в” пункта 16 Правил). Внеплановое </w:t>
      </w:r>
      <w:proofErr w:type="gramStart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 работников по</w:t>
      </w:r>
      <w:proofErr w:type="gramEnd"/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указанному основанию проводится по требованию Минтруда России (пункт 61 Правил).</w:t>
      </w:r>
    </w:p>
    <w:p w:rsidR="00AE6BF8" w:rsidRPr="00AE6BF8" w:rsidRDefault="00AE6BF8" w:rsidP="00DD087B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Журналы регистрации инструктажей</w:t>
      </w:r>
    </w:p>
    <w:p w:rsidR="008C4C5B" w:rsidRDefault="00AE6BF8" w:rsidP="00DD087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Изменились требования к журналам регистрации инструктажей, как вводного, так и на рабочем месте. </w:t>
      </w:r>
    </w:p>
    <w:p w:rsidR="008C4C5B" w:rsidRDefault="008C4C5B" w:rsidP="00DD087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C4C5B" w:rsidRPr="008C4C5B" w:rsidRDefault="008C4C5B" w:rsidP="00DD087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8C4C5B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ОБРАЗЕЦ:</w:t>
      </w:r>
    </w:p>
    <w:p w:rsidR="00AE6BF8" w:rsidRPr="00AE6BF8" w:rsidRDefault="00AE6BF8" w:rsidP="00DD087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Пример оформления записей в журнале вводного инструктажа:</w:t>
      </w:r>
    </w:p>
    <w:p w:rsidR="00AE6BF8" w:rsidRPr="00AE6BF8" w:rsidRDefault="00AE6BF8" w:rsidP="00DD087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A9CCE8F" wp14:editId="0CAD0EE2">
            <wp:extent cx="5780599" cy="2127169"/>
            <wp:effectExtent l="0" t="0" r="0" b="6985"/>
            <wp:docPr id="2" name="Рисунок 2" descr="пример оформления записей в журнале вводного инструктаж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мер оформления записей в журнале вводного инструктаж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675" cy="212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BF8" w:rsidRPr="00AE6BF8" w:rsidRDefault="00AE6BF8" w:rsidP="00DD087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Пример оформления записей в журнале инструктажа на рабочем месте (первичного, повторного, внепланового):</w:t>
      </w:r>
    </w:p>
    <w:p w:rsidR="00AE6BF8" w:rsidRPr="00AE6BF8" w:rsidRDefault="00AE6BF8" w:rsidP="00DD087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62099CA" wp14:editId="0BB8C23D">
            <wp:extent cx="5931673" cy="2467515"/>
            <wp:effectExtent l="0" t="0" r="0" b="9525"/>
            <wp:docPr id="1" name="Рисунок 1" descr="пример оформления записей в журнале инструктажа на рабочем месте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мер оформления записей в журнале инструктажа на рабочем мест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750" cy="246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C5B" w:rsidRDefault="00AE6BF8" w:rsidP="00DD087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Чтобы привести в соответствие новым требованиям ваши локальные документы, регламентирующие организацию и фиксирующие проведение инструктажей, нужно либо внести в них изменения, либо разработать документы заново. </w:t>
      </w:r>
    </w:p>
    <w:p w:rsidR="008C4C5B" w:rsidRDefault="008C4C5B" w:rsidP="00DD087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E6BF8" w:rsidRPr="008C4C5B" w:rsidRDefault="00AE6BF8" w:rsidP="00DD087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E6B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Итак, что нужно сделать, чтобы перейти на новый порядок </w:t>
      </w:r>
      <w:proofErr w:type="gramStart"/>
      <w:r w:rsidRPr="00AE6B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обучения по охране</w:t>
      </w:r>
      <w:proofErr w:type="gramEnd"/>
      <w:r w:rsidRPr="00AE6B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труда в части организации инструктажей:</w:t>
      </w:r>
    </w:p>
    <w:p w:rsidR="008C4C5B" w:rsidRPr="00AE6BF8" w:rsidRDefault="008C4C5B" w:rsidP="00DD087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W w:w="9901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6"/>
        <w:gridCol w:w="5245"/>
      </w:tblGrid>
      <w:tr w:rsidR="00AE6BF8" w:rsidRPr="00AE6BF8" w:rsidTr="00AE6BF8">
        <w:tc>
          <w:tcPr>
            <w:tcW w:w="4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проведения</w:t>
            </w:r>
          </w:p>
        </w:tc>
      </w:tr>
      <w:tr w:rsidR="00AE6BF8" w:rsidRPr="00AE6BF8" w:rsidTr="00AE6BF8">
        <w:tc>
          <w:tcPr>
            <w:tcW w:w="4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(актуализировать) программу вводного инструктажа по охране труда на основе примерного перечня тем согласно приложению № 1 Правил с учетом специфики деятельности организации, и утвердить её работодателем с учетом мнения профсоюзного или иного уполномоченного работниками органа (при наличии).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01.09.2022 г.</w:t>
            </w:r>
          </w:p>
        </w:tc>
      </w:tr>
      <w:tr w:rsidR="00AE6BF8" w:rsidRPr="00AE6BF8" w:rsidTr="00AE6BF8">
        <w:tc>
          <w:tcPr>
            <w:tcW w:w="4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(актуализировать) и утвердить перечень профессий и должностей работников, освобожденных от прохождения первичного инструктажа по охране труда, утвердите его у работодателя.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01.09.2022 г.</w:t>
            </w:r>
          </w:p>
        </w:tc>
      </w:tr>
      <w:tr w:rsidR="00AE6BF8" w:rsidRPr="00AE6BF8" w:rsidTr="00AE6BF8">
        <w:tc>
          <w:tcPr>
            <w:tcW w:w="4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8C4C5B" w:rsidP="00DD08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Подготовьте журналы 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01.09.2022 г.</w:t>
            </w:r>
          </w:p>
        </w:tc>
      </w:tr>
      <w:tr w:rsidR="00AE6BF8" w:rsidRPr="00AE6BF8" w:rsidTr="00AE6BF8">
        <w:tc>
          <w:tcPr>
            <w:tcW w:w="4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Default="00AE6BF8" w:rsidP="00DD08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порядок организации целевого инструктажа на рабочем месте, утвердите его в Положении о СУОТ.</w:t>
            </w:r>
          </w:p>
          <w:p w:rsidR="008C4C5B" w:rsidRPr="00AE6BF8" w:rsidRDefault="008C4C5B" w:rsidP="00DD08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6BF8" w:rsidRPr="00AE6BF8" w:rsidRDefault="00AE6BF8" w:rsidP="00DD0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01.09.2022 г.</w:t>
            </w:r>
          </w:p>
        </w:tc>
      </w:tr>
    </w:tbl>
    <w:p w:rsidR="008C4C5B" w:rsidRDefault="008C4C5B" w:rsidP="00DD087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A3E09" w:rsidRPr="00AE6BF8" w:rsidRDefault="004A3E09" w:rsidP="00DD087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A3E09" w:rsidRPr="00AE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8C3"/>
    <w:multiLevelType w:val="multilevel"/>
    <w:tmpl w:val="49FA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B66B1"/>
    <w:multiLevelType w:val="multilevel"/>
    <w:tmpl w:val="C11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C5AB9"/>
    <w:multiLevelType w:val="multilevel"/>
    <w:tmpl w:val="5EE4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EB4206"/>
    <w:multiLevelType w:val="multilevel"/>
    <w:tmpl w:val="5A42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B3E8B"/>
    <w:multiLevelType w:val="multilevel"/>
    <w:tmpl w:val="45624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003D74"/>
    <w:multiLevelType w:val="multilevel"/>
    <w:tmpl w:val="92B4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D07688"/>
    <w:multiLevelType w:val="multilevel"/>
    <w:tmpl w:val="1EE6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E37BE"/>
    <w:multiLevelType w:val="multilevel"/>
    <w:tmpl w:val="57F2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DA5A2D"/>
    <w:multiLevelType w:val="multilevel"/>
    <w:tmpl w:val="5CB4E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B83EAC"/>
    <w:multiLevelType w:val="multilevel"/>
    <w:tmpl w:val="F5D4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F8"/>
    <w:rsid w:val="0007046E"/>
    <w:rsid w:val="002D555A"/>
    <w:rsid w:val="004A3E09"/>
    <w:rsid w:val="004E7424"/>
    <w:rsid w:val="008C4C5B"/>
    <w:rsid w:val="009B2594"/>
    <w:rsid w:val="00AE6BF8"/>
    <w:rsid w:val="00B451C9"/>
    <w:rsid w:val="00DD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6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6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6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B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B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6B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ntry-author">
    <w:name w:val="entry-author"/>
    <w:basedOn w:val="a0"/>
    <w:rsid w:val="00AE6BF8"/>
  </w:style>
  <w:style w:type="character" w:customStyle="1" w:styleId="entry-label">
    <w:name w:val="entry-label"/>
    <w:basedOn w:val="a0"/>
    <w:rsid w:val="00AE6BF8"/>
  </w:style>
  <w:style w:type="character" w:customStyle="1" w:styleId="entry-date">
    <w:name w:val="entry-date"/>
    <w:basedOn w:val="a0"/>
    <w:rsid w:val="00AE6BF8"/>
  </w:style>
  <w:style w:type="paragraph" w:styleId="a3">
    <w:name w:val="Normal (Web)"/>
    <w:basedOn w:val="a"/>
    <w:uiPriority w:val="99"/>
    <w:unhideWhenUsed/>
    <w:rsid w:val="00AE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-of-contentshide">
    <w:name w:val="table-of-contents__hide"/>
    <w:basedOn w:val="a0"/>
    <w:rsid w:val="00AE6BF8"/>
  </w:style>
  <w:style w:type="character" w:styleId="a4">
    <w:name w:val="Hyperlink"/>
    <w:basedOn w:val="a0"/>
    <w:uiPriority w:val="99"/>
    <w:semiHidden/>
    <w:unhideWhenUsed/>
    <w:rsid w:val="00AE6BF8"/>
    <w:rPr>
      <w:color w:val="0000FF"/>
      <w:u w:val="single"/>
    </w:rPr>
  </w:style>
  <w:style w:type="character" w:styleId="a5">
    <w:name w:val="Strong"/>
    <w:basedOn w:val="a0"/>
    <w:uiPriority w:val="22"/>
    <w:qFormat/>
    <w:rsid w:val="00AE6BF8"/>
    <w:rPr>
      <w:b/>
      <w:bCs/>
    </w:rPr>
  </w:style>
  <w:style w:type="character" w:customStyle="1" w:styleId="pseudo-link">
    <w:name w:val="pseudo-link"/>
    <w:basedOn w:val="a0"/>
    <w:rsid w:val="00AE6BF8"/>
  </w:style>
  <w:style w:type="character" w:styleId="a6">
    <w:name w:val="Emphasis"/>
    <w:basedOn w:val="a0"/>
    <w:uiPriority w:val="20"/>
    <w:qFormat/>
    <w:rsid w:val="00AE6BF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E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6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6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6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B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B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6B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ntry-author">
    <w:name w:val="entry-author"/>
    <w:basedOn w:val="a0"/>
    <w:rsid w:val="00AE6BF8"/>
  </w:style>
  <w:style w:type="character" w:customStyle="1" w:styleId="entry-label">
    <w:name w:val="entry-label"/>
    <w:basedOn w:val="a0"/>
    <w:rsid w:val="00AE6BF8"/>
  </w:style>
  <w:style w:type="character" w:customStyle="1" w:styleId="entry-date">
    <w:name w:val="entry-date"/>
    <w:basedOn w:val="a0"/>
    <w:rsid w:val="00AE6BF8"/>
  </w:style>
  <w:style w:type="paragraph" w:styleId="a3">
    <w:name w:val="Normal (Web)"/>
    <w:basedOn w:val="a"/>
    <w:uiPriority w:val="99"/>
    <w:unhideWhenUsed/>
    <w:rsid w:val="00AE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-of-contentshide">
    <w:name w:val="table-of-contents__hide"/>
    <w:basedOn w:val="a0"/>
    <w:rsid w:val="00AE6BF8"/>
  </w:style>
  <w:style w:type="character" w:styleId="a4">
    <w:name w:val="Hyperlink"/>
    <w:basedOn w:val="a0"/>
    <w:uiPriority w:val="99"/>
    <w:semiHidden/>
    <w:unhideWhenUsed/>
    <w:rsid w:val="00AE6BF8"/>
    <w:rPr>
      <w:color w:val="0000FF"/>
      <w:u w:val="single"/>
    </w:rPr>
  </w:style>
  <w:style w:type="character" w:styleId="a5">
    <w:name w:val="Strong"/>
    <w:basedOn w:val="a0"/>
    <w:uiPriority w:val="22"/>
    <w:qFormat/>
    <w:rsid w:val="00AE6BF8"/>
    <w:rPr>
      <w:b/>
      <w:bCs/>
    </w:rPr>
  </w:style>
  <w:style w:type="character" w:customStyle="1" w:styleId="pseudo-link">
    <w:name w:val="pseudo-link"/>
    <w:basedOn w:val="a0"/>
    <w:rsid w:val="00AE6BF8"/>
  </w:style>
  <w:style w:type="character" w:styleId="a6">
    <w:name w:val="Emphasis"/>
    <w:basedOn w:val="a0"/>
    <w:uiPriority w:val="20"/>
    <w:qFormat/>
    <w:rsid w:val="00AE6BF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E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6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1633830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6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10866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0894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1939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5588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930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662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6440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3848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0171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3152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203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19558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98387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0316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73;&#1083;&#1086;&#1075;-&#1080;&#1085;&#1078;&#1077;&#1085;&#1077;&#1088;&#1072;.&#1088;&#1092;/wp-content/uploads/2022/02/shema-obucheniya-po-ohrane-truda.png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8sbbilafpyxcf8a.xn--p1ai/trudovoj-kodeks/%d1%81%d1%82%d0%b0%d1%82%d1%8c%d1%8f-219-%d1%82%d0%ba-%d1%80%d1%84.html" TargetMode="External"/><Relationship Id="rId11" Type="http://schemas.openxmlformats.org/officeDocument/2006/relationships/hyperlink" Target="https://&#1073;&#1083;&#1086;&#1075;-&#1080;&#1085;&#1078;&#1077;&#1085;&#1077;&#1088;&#1072;.&#1088;&#1092;/wp-content/uploads/2022/02/primer-oformleniya-zapisej-v-zhurnale-instruktazha-na-rabochem-meste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&#1073;&#1083;&#1086;&#1075;-&#1080;&#1085;&#1078;&#1077;&#1085;&#1077;&#1088;&#1072;.&#1088;&#1092;/wp-content/uploads/2022/02/primer-oformleniya-zapisej-v-zhurnale-vvodnogo-instruktazh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9</Pages>
  <Words>2727</Words>
  <Characters>15544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Новый порядок обучения по охране труда (Детальный разбор)</vt:lpstr>
      <vt:lpstr/>
      <vt:lpstr>    </vt:lpstr>
      <vt:lpstr>    ТК РФ о порядке обучения по охране труда</vt:lpstr>
      <vt:lpstr>    </vt:lpstr>
      <vt:lpstr>    Правила обучения вступят в силу в два приёма</vt:lpstr>
      <vt:lpstr>    Кто попадает под обучение по охране труда</vt:lpstr>
      <vt:lpstr>    Требования к обучающим организациям стали жёстче</vt:lpstr>
      <vt:lpstr>    </vt:lpstr>
      <vt:lpstr>    Общие требования к обучению по охране труда</vt:lpstr>
      <vt:lpstr>    </vt:lpstr>
      <vt:lpstr>    Организация и проведение инструктажей по охране труда</vt:lpstr>
      <vt:lpstr>    </vt:lpstr>
      <vt:lpstr>    Виды инструктажей по охране труда и их регистрация</vt:lpstr>
      <vt:lpstr>        </vt:lpstr>
      <vt:lpstr>        Вводный инструктаж</vt:lpstr>
      <vt:lpstr>        </vt:lpstr>
      <vt:lpstr>        </vt:lpstr>
      <vt:lpstr>        Первичный инструктаж</vt:lpstr>
      <vt:lpstr>        </vt:lpstr>
      <vt:lpstr>        Внеплановый инструктаж</vt:lpstr>
      <vt:lpstr>        Журналы регистрации инструктажей</vt:lpstr>
      <vt:lpstr>    </vt:lpstr>
    </vt:vector>
  </TitlesOfParts>
  <Company>SPecialiST RePack</Company>
  <LinksUpToDate>false</LinksUpToDate>
  <CharactersWithSpaces>18235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dcterms:created xsi:type="dcterms:W3CDTF">2022-06-22T06:20:00Z</dcterms:created>
  <dcterms:modified xsi:type="dcterms:W3CDTF">2022-06-24T03:30:00Z</dcterms:modified>
</cp:coreProperties>
</file>