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C" w:rsidRPr="00D43838" w:rsidRDefault="0004256C" w:rsidP="00D33BCC">
      <w:pPr>
        <w:jc w:val="center"/>
        <w:rPr>
          <w:b/>
          <w:sz w:val="26"/>
          <w:szCs w:val="26"/>
        </w:rPr>
      </w:pPr>
      <w:r w:rsidRPr="00D43838">
        <w:rPr>
          <w:b/>
          <w:sz w:val="26"/>
          <w:szCs w:val="26"/>
        </w:rPr>
        <w:t>Потребительский рынок города Саянска в 2014 году</w:t>
      </w:r>
    </w:p>
    <w:p w:rsidR="0004256C" w:rsidRPr="00D43838" w:rsidRDefault="0004256C" w:rsidP="0004256C">
      <w:pPr>
        <w:ind w:firstLine="709"/>
        <w:jc w:val="center"/>
        <w:rPr>
          <w:sz w:val="26"/>
          <w:szCs w:val="26"/>
        </w:rPr>
      </w:pPr>
    </w:p>
    <w:p w:rsidR="00380B83" w:rsidRPr="00D43838" w:rsidRDefault="00AF465F" w:rsidP="00723814">
      <w:pPr>
        <w:pStyle w:val="a9"/>
        <w:ind w:firstLine="709"/>
        <w:jc w:val="both"/>
        <w:rPr>
          <w:rFonts w:eastAsia="Times New Roman"/>
          <w:sz w:val="26"/>
          <w:szCs w:val="26"/>
        </w:rPr>
      </w:pPr>
      <w:r w:rsidRPr="00D43838">
        <w:rPr>
          <w:sz w:val="26"/>
          <w:szCs w:val="26"/>
        </w:rPr>
        <w:t>Потребительский рынок</w:t>
      </w:r>
      <w:r w:rsidRPr="00D43838">
        <w:rPr>
          <w:b/>
          <w:sz w:val="26"/>
          <w:szCs w:val="26"/>
        </w:rPr>
        <w:t xml:space="preserve"> </w:t>
      </w:r>
      <w:r w:rsidRPr="00D43838">
        <w:rPr>
          <w:sz w:val="26"/>
          <w:szCs w:val="26"/>
        </w:rPr>
        <w:t>–</w:t>
      </w:r>
      <w:r w:rsidR="00380B83" w:rsidRPr="00D43838">
        <w:rPr>
          <w:sz w:val="26"/>
          <w:szCs w:val="26"/>
        </w:rPr>
        <w:t xml:space="preserve"> </w:t>
      </w:r>
      <w:r w:rsidR="00FD3F43" w:rsidRPr="00D43838">
        <w:rPr>
          <w:sz w:val="26"/>
          <w:szCs w:val="26"/>
        </w:rPr>
        <w:t>один из самых доходных и динамично растущих секторов экономики</w:t>
      </w:r>
      <w:r w:rsidR="00380B83" w:rsidRPr="00D43838">
        <w:rPr>
          <w:sz w:val="26"/>
          <w:szCs w:val="26"/>
        </w:rPr>
        <w:t xml:space="preserve"> города</w:t>
      </w:r>
      <w:r w:rsidR="00D64439" w:rsidRPr="00D43838">
        <w:rPr>
          <w:sz w:val="26"/>
          <w:szCs w:val="26"/>
        </w:rPr>
        <w:t>.</w:t>
      </w:r>
      <w:r w:rsidR="00FD3F43" w:rsidRPr="00D43838">
        <w:rPr>
          <w:sz w:val="26"/>
          <w:szCs w:val="26"/>
        </w:rPr>
        <w:t xml:space="preserve"> </w:t>
      </w:r>
      <w:r w:rsidR="00D64439" w:rsidRPr="00D43838">
        <w:rPr>
          <w:sz w:val="26"/>
          <w:szCs w:val="26"/>
        </w:rPr>
        <w:t>Н</w:t>
      </w:r>
      <w:r w:rsidR="00380B83" w:rsidRPr="00D43838">
        <w:rPr>
          <w:sz w:val="26"/>
          <w:szCs w:val="26"/>
        </w:rPr>
        <w:t xml:space="preserve">есмотря на негативные воздействия финансово-экономического кризиса </w:t>
      </w:r>
      <w:r w:rsidR="00D64439" w:rsidRPr="00D43838">
        <w:rPr>
          <w:sz w:val="26"/>
          <w:szCs w:val="26"/>
        </w:rPr>
        <w:t>х</w:t>
      </w:r>
      <w:r w:rsidR="00FD3F43" w:rsidRPr="00D43838">
        <w:rPr>
          <w:sz w:val="26"/>
          <w:szCs w:val="26"/>
        </w:rPr>
        <w:t>арактеризуется устойчивыми темпами наращивания объемов</w:t>
      </w:r>
      <w:r w:rsidR="00380B83" w:rsidRPr="00D43838">
        <w:rPr>
          <w:sz w:val="26"/>
          <w:szCs w:val="26"/>
        </w:rPr>
        <w:t xml:space="preserve"> розничного товарооборота</w:t>
      </w:r>
      <w:r w:rsidR="00FD3F43" w:rsidRPr="00D43838">
        <w:rPr>
          <w:sz w:val="26"/>
          <w:szCs w:val="26"/>
        </w:rPr>
        <w:t xml:space="preserve">, </w:t>
      </w:r>
      <w:r w:rsidR="00380B83" w:rsidRPr="00D43838">
        <w:rPr>
          <w:rFonts w:eastAsia="Times New Roman"/>
          <w:sz w:val="26"/>
          <w:szCs w:val="26"/>
        </w:rPr>
        <w:t>положительной динамикой развития новых форматов торговых предприятий и сферы услуг, насыщенностью товарами.</w:t>
      </w:r>
    </w:p>
    <w:p w:rsidR="00411C0D" w:rsidRPr="00D43838" w:rsidRDefault="00411C0D" w:rsidP="00723814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Потребительский рынок города представлен широкой сетью предприятий розничной торговли, общественного питания, бытовых услуг:</w:t>
      </w:r>
    </w:p>
    <w:p w:rsidR="00411C0D" w:rsidRPr="00D43838" w:rsidRDefault="00411C0D" w:rsidP="00723814">
      <w:pPr>
        <w:ind w:firstLine="284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</w:t>
      </w:r>
      <w:r w:rsidR="00197302" w:rsidRPr="00D43838">
        <w:rPr>
          <w:sz w:val="26"/>
          <w:szCs w:val="26"/>
        </w:rPr>
        <w:t>3</w:t>
      </w:r>
      <w:r w:rsidRPr="00D43838">
        <w:rPr>
          <w:sz w:val="26"/>
          <w:szCs w:val="26"/>
        </w:rPr>
        <w:t>9 объектов розничной торговли с торговой площадью 35815,8 кв.м., из них 4</w:t>
      </w:r>
      <w:r w:rsidR="00197302" w:rsidRPr="00D43838">
        <w:rPr>
          <w:sz w:val="26"/>
          <w:szCs w:val="26"/>
        </w:rPr>
        <w:t>2</w:t>
      </w:r>
      <w:r w:rsidRPr="00D43838">
        <w:rPr>
          <w:sz w:val="26"/>
          <w:szCs w:val="26"/>
        </w:rPr>
        <w:t xml:space="preserve"> объект</w:t>
      </w:r>
      <w:r w:rsidR="00197302" w:rsidRPr="00D43838">
        <w:rPr>
          <w:sz w:val="26"/>
          <w:szCs w:val="26"/>
        </w:rPr>
        <w:t>а</w:t>
      </w:r>
      <w:r w:rsidRPr="00D43838">
        <w:rPr>
          <w:sz w:val="26"/>
          <w:szCs w:val="26"/>
        </w:rPr>
        <w:t xml:space="preserve"> или 3</w:t>
      </w:r>
      <w:r w:rsidR="00197302" w:rsidRPr="00D43838">
        <w:rPr>
          <w:sz w:val="26"/>
          <w:szCs w:val="26"/>
        </w:rPr>
        <w:t>0,2 </w:t>
      </w:r>
      <w:r w:rsidRPr="00D43838">
        <w:rPr>
          <w:sz w:val="26"/>
          <w:szCs w:val="26"/>
        </w:rPr>
        <w:t xml:space="preserve">% - это магазины товаров повседневного спроса, </w:t>
      </w:r>
      <w:r w:rsidR="00197302" w:rsidRPr="00D43838">
        <w:rPr>
          <w:sz w:val="26"/>
          <w:szCs w:val="26"/>
        </w:rPr>
        <w:t>общей</w:t>
      </w:r>
      <w:r w:rsidRPr="00D43838">
        <w:rPr>
          <w:sz w:val="26"/>
          <w:szCs w:val="26"/>
        </w:rPr>
        <w:t xml:space="preserve"> площадью 4</w:t>
      </w:r>
      <w:r w:rsidR="00197302" w:rsidRPr="00D43838">
        <w:rPr>
          <w:sz w:val="26"/>
          <w:szCs w:val="26"/>
        </w:rPr>
        <w:t>883</w:t>
      </w:r>
      <w:r w:rsidRPr="00D43838">
        <w:rPr>
          <w:sz w:val="26"/>
          <w:szCs w:val="26"/>
        </w:rPr>
        <w:t>,</w:t>
      </w:r>
      <w:r w:rsidR="00197302" w:rsidRPr="00D43838">
        <w:rPr>
          <w:sz w:val="26"/>
          <w:szCs w:val="26"/>
        </w:rPr>
        <w:t>3 </w:t>
      </w:r>
      <w:r w:rsidRPr="00D43838">
        <w:rPr>
          <w:sz w:val="26"/>
          <w:szCs w:val="26"/>
        </w:rPr>
        <w:t>кв.м., располагающиеся в жилых домах, т.е. в радиусе пешеходной доступности;</w:t>
      </w:r>
    </w:p>
    <w:p w:rsidR="00411C0D" w:rsidRPr="00D43838" w:rsidRDefault="00411C0D" w:rsidP="00723814">
      <w:pPr>
        <w:ind w:firstLine="284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- 5</w:t>
      </w:r>
      <w:r w:rsidR="00197302" w:rsidRPr="00D43838">
        <w:rPr>
          <w:sz w:val="26"/>
          <w:szCs w:val="26"/>
        </w:rPr>
        <w:t>6</w:t>
      </w:r>
      <w:r w:rsidRPr="00D43838">
        <w:rPr>
          <w:sz w:val="26"/>
          <w:szCs w:val="26"/>
        </w:rPr>
        <w:t xml:space="preserve"> объектов общественного питания на 3</w:t>
      </w:r>
      <w:r w:rsidR="00197302" w:rsidRPr="00D43838">
        <w:rPr>
          <w:sz w:val="26"/>
          <w:szCs w:val="26"/>
        </w:rPr>
        <w:t>586</w:t>
      </w:r>
      <w:r w:rsidRPr="00D43838">
        <w:rPr>
          <w:sz w:val="26"/>
          <w:szCs w:val="26"/>
        </w:rPr>
        <w:t xml:space="preserve"> посадочн</w:t>
      </w:r>
      <w:r w:rsidR="00197302" w:rsidRPr="00D43838">
        <w:rPr>
          <w:sz w:val="26"/>
          <w:szCs w:val="26"/>
        </w:rPr>
        <w:t>ых</w:t>
      </w:r>
      <w:r w:rsidRPr="00D43838">
        <w:rPr>
          <w:sz w:val="26"/>
          <w:szCs w:val="26"/>
        </w:rPr>
        <w:t xml:space="preserve"> мест, из них 3</w:t>
      </w:r>
      <w:r w:rsidR="00197302" w:rsidRPr="00D43838">
        <w:rPr>
          <w:sz w:val="26"/>
          <w:szCs w:val="26"/>
        </w:rPr>
        <w:t>4</w:t>
      </w:r>
      <w:r w:rsidRPr="00D43838">
        <w:rPr>
          <w:sz w:val="26"/>
          <w:szCs w:val="26"/>
        </w:rPr>
        <w:t xml:space="preserve"> объект</w:t>
      </w:r>
      <w:r w:rsidR="00197302" w:rsidRPr="00D43838">
        <w:rPr>
          <w:sz w:val="26"/>
          <w:szCs w:val="26"/>
        </w:rPr>
        <w:t>а</w:t>
      </w:r>
      <w:r w:rsidRPr="00D43838">
        <w:rPr>
          <w:sz w:val="26"/>
          <w:szCs w:val="26"/>
        </w:rPr>
        <w:t xml:space="preserve"> общедоступной сети или 6</w:t>
      </w:r>
      <w:r w:rsidR="002B0B8A" w:rsidRPr="00D43838">
        <w:rPr>
          <w:sz w:val="26"/>
          <w:szCs w:val="26"/>
        </w:rPr>
        <w:t>0,7</w:t>
      </w:r>
      <w:r w:rsidRPr="00D43838">
        <w:rPr>
          <w:sz w:val="26"/>
          <w:szCs w:val="26"/>
        </w:rPr>
        <w:t xml:space="preserve"> % на </w:t>
      </w:r>
      <w:r w:rsidR="002B0B8A" w:rsidRPr="00D43838">
        <w:rPr>
          <w:sz w:val="26"/>
          <w:szCs w:val="26"/>
        </w:rPr>
        <w:t>840</w:t>
      </w:r>
      <w:r w:rsidRPr="00D43838">
        <w:rPr>
          <w:sz w:val="26"/>
          <w:szCs w:val="26"/>
        </w:rPr>
        <w:t xml:space="preserve"> посадочных мест;</w:t>
      </w:r>
    </w:p>
    <w:p w:rsidR="00B15875" w:rsidRPr="00D43838" w:rsidRDefault="00411C0D" w:rsidP="00723814">
      <w:pPr>
        <w:ind w:firstLine="284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</w:t>
      </w:r>
      <w:r w:rsidR="002B0B8A" w:rsidRPr="00D43838">
        <w:rPr>
          <w:sz w:val="26"/>
          <w:szCs w:val="26"/>
        </w:rPr>
        <w:t>74</w:t>
      </w:r>
      <w:r w:rsidRPr="00D43838">
        <w:rPr>
          <w:sz w:val="26"/>
          <w:szCs w:val="26"/>
        </w:rPr>
        <w:t xml:space="preserve"> объект</w:t>
      </w:r>
      <w:r w:rsidR="002B0B8A" w:rsidRPr="00D43838">
        <w:rPr>
          <w:sz w:val="26"/>
          <w:szCs w:val="26"/>
        </w:rPr>
        <w:t>а</w:t>
      </w:r>
      <w:r w:rsidRPr="00D43838">
        <w:rPr>
          <w:sz w:val="26"/>
          <w:szCs w:val="26"/>
        </w:rPr>
        <w:t xml:space="preserve"> бытовых услуг на </w:t>
      </w:r>
      <w:r w:rsidR="002B0B8A" w:rsidRPr="00D43838">
        <w:rPr>
          <w:sz w:val="26"/>
          <w:szCs w:val="26"/>
        </w:rPr>
        <w:t>506</w:t>
      </w:r>
      <w:r w:rsidRPr="00D43838">
        <w:rPr>
          <w:sz w:val="26"/>
          <w:szCs w:val="26"/>
        </w:rPr>
        <w:t xml:space="preserve"> рабочих мест.</w:t>
      </w:r>
    </w:p>
    <w:p w:rsidR="00B15875" w:rsidRDefault="0019065F" w:rsidP="00723814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37465</wp:posOffset>
            </wp:positionV>
            <wp:extent cx="5270500" cy="2470150"/>
            <wp:effectExtent l="0" t="0" r="0" b="0"/>
            <wp:wrapNone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B15875" w:rsidRDefault="00B15875" w:rsidP="00723814">
      <w:pPr>
        <w:ind w:firstLine="284"/>
        <w:jc w:val="both"/>
        <w:rPr>
          <w:sz w:val="28"/>
          <w:szCs w:val="28"/>
        </w:rPr>
      </w:pPr>
    </w:p>
    <w:p w:rsidR="00411C0D" w:rsidRDefault="00411C0D" w:rsidP="00723814">
      <w:pPr>
        <w:ind w:firstLine="284"/>
        <w:jc w:val="both"/>
        <w:rPr>
          <w:sz w:val="28"/>
          <w:szCs w:val="28"/>
        </w:rPr>
      </w:pPr>
      <w:r w:rsidRPr="00411C0D">
        <w:rPr>
          <w:sz w:val="28"/>
          <w:szCs w:val="28"/>
        </w:rPr>
        <w:t xml:space="preserve"> </w:t>
      </w:r>
    </w:p>
    <w:p w:rsidR="00B15875" w:rsidRDefault="00B15875" w:rsidP="00723814">
      <w:pPr>
        <w:ind w:firstLine="709"/>
        <w:jc w:val="both"/>
        <w:rPr>
          <w:sz w:val="28"/>
          <w:szCs w:val="28"/>
        </w:rPr>
      </w:pPr>
    </w:p>
    <w:p w:rsidR="000E2FC5" w:rsidRPr="00D43838" w:rsidRDefault="000E2FC5" w:rsidP="00723814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 предприятиях потребительского рынка трудится 3053 человек, в том числе:</w:t>
      </w:r>
    </w:p>
    <w:p w:rsidR="000E2FC5" w:rsidRPr="00D43838" w:rsidRDefault="000E2FC5" w:rsidP="00723814">
      <w:pPr>
        <w:ind w:firstLine="284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в торговле - 2251 человек, (2013г. – 2227</w:t>
      </w:r>
      <w:r w:rsidR="00723814" w:rsidRPr="00D43838">
        <w:rPr>
          <w:sz w:val="26"/>
          <w:szCs w:val="26"/>
        </w:rPr>
        <w:t xml:space="preserve"> чел.),</w:t>
      </w:r>
      <w:r w:rsidRPr="00D43838">
        <w:rPr>
          <w:sz w:val="26"/>
          <w:szCs w:val="26"/>
        </w:rPr>
        <w:t xml:space="preserve"> </w:t>
      </w:r>
    </w:p>
    <w:p w:rsidR="000E2FC5" w:rsidRPr="00D43838" w:rsidRDefault="000E2FC5" w:rsidP="00723814">
      <w:pPr>
        <w:ind w:firstLine="284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в общественном питании - 296 человек (2013г. - 365</w:t>
      </w:r>
      <w:r w:rsidR="00723814" w:rsidRPr="00D43838">
        <w:rPr>
          <w:sz w:val="26"/>
          <w:szCs w:val="26"/>
        </w:rPr>
        <w:t xml:space="preserve"> чел.),</w:t>
      </w:r>
    </w:p>
    <w:p w:rsidR="000E2FC5" w:rsidRPr="00D43838" w:rsidRDefault="000E2FC5" w:rsidP="00723814">
      <w:pPr>
        <w:ind w:firstLine="284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в бытовых услугах 506 человек (2013г. – 484).</w:t>
      </w:r>
    </w:p>
    <w:p w:rsidR="003D5AF0" w:rsidRPr="000E2FC5" w:rsidRDefault="0019065F" w:rsidP="007D52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62230</wp:posOffset>
            </wp:positionV>
            <wp:extent cx="4864100" cy="2806700"/>
            <wp:effectExtent l="0" t="0" r="0" b="0"/>
            <wp:wrapNone/>
            <wp:docPr id="3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Default="0089143A" w:rsidP="0004256C">
      <w:pPr>
        <w:ind w:firstLine="540"/>
        <w:jc w:val="center"/>
        <w:rPr>
          <w:sz w:val="16"/>
          <w:szCs w:val="16"/>
        </w:rPr>
      </w:pPr>
    </w:p>
    <w:p w:rsidR="0089143A" w:rsidRPr="0004256C" w:rsidRDefault="0089143A" w:rsidP="0004256C">
      <w:pPr>
        <w:ind w:firstLine="540"/>
        <w:jc w:val="center"/>
        <w:rPr>
          <w:sz w:val="16"/>
          <w:szCs w:val="16"/>
        </w:rPr>
      </w:pPr>
    </w:p>
    <w:p w:rsidR="00AA7FAC" w:rsidRDefault="00AA7FAC" w:rsidP="00D33BCC">
      <w:pPr>
        <w:jc w:val="center"/>
        <w:rPr>
          <w:sz w:val="28"/>
          <w:szCs w:val="28"/>
        </w:rPr>
      </w:pPr>
    </w:p>
    <w:p w:rsidR="00D43838" w:rsidRDefault="00D43838" w:rsidP="00D33BCC">
      <w:pPr>
        <w:jc w:val="center"/>
        <w:rPr>
          <w:b/>
          <w:sz w:val="28"/>
          <w:szCs w:val="28"/>
        </w:rPr>
      </w:pPr>
    </w:p>
    <w:p w:rsidR="00D43838" w:rsidRDefault="00D43838" w:rsidP="00D33BCC">
      <w:pPr>
        <w:jc w:val="center"/>
        <w:rPr>
          <w:b/>
          <w:sz w:val="28"/>
          <w:szCs w:val="28"/>
        </w:rPr>
      </w:pPr>
    </w:p>
    <w:p w:rsidR="00D43838" w:rsidRDefault="00D43838" w:rsidP="00D33BCC">
      <w:pPr>
        <w:jc w:val="center"/>
        <w:rPr>
          <w:b/>
          <w:sz w:val="28"/>
          <w:szCs w:val="28"/>
        </w:rPr>
      </w:pPr>
    </w:p>
    <w:p w:rsidR="0004256C" w:rsidRPr="00560B8C" w:rsidRDefault="0004256C" w:rsidP="00D33BCC">
      <w:pPr>
        <w:jc w:val="center"/>
        <w:rPr>
          <w:b/>
          <w:sz w:val="28"/>
          <w:szCs w:val="28"/>
        </w:rPr>
      </w:pPr>
      <w:r w:rsidRPr="00560B8C">
        <w:rPr>
          <w:b/>
          <w:sz w:val="28"/>
          <w:szCs w:val="28"/>
        </w:rPr>
        <w:t>Торговля</w:t>
      </w:r>
    </w:p>
    <w:p w:rsidR="00411C0D" w:rsidRPr="00D43838" w:rsidRDefault="00AF465F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Ведущая роль в удовлетворении покупательского спроса горожан принадлежит предприятиям розничной торговли. Оборот розничной торговли за 201</w:t>
      </w:r>
      <w:r w:rsidR="00B202CA" w:rsidRPr="00D43838">
        <w:rPr>
          <w:sz w:val="26"/>
          <w:szCs w:val="26"/>
        </w:rPr>
        <w:t>4</w:t>
      </w:r>
      <w:r w:rsidRPr="00D43838">
        <w:rPr>
          <w:sz w:val="26"/>
          <w:szCs w:val="26"/>
        </w:rPr>
        <w:t xml:space="preserve"> год составил 3</w:t>
      </w:r>
      <w:r w:rsidR="007B1B02" w:rsidRPr="00D43838">
        <w:rPr>
          <w:sz w:val="26"/>
          <w:szCs w:val="26"/>
        </w:rPr>
        <w:t>634</w:t>
      </w:r>
      <w:r w:rsidR="00D64439" w:rsidRPr="00D43838">
        <w:rPr>
          <w:sz w:val="26"/>
          <w:szCs w:val="26"/>
        </w:rPr>
        <w:t>,</w:t>
      </w:r>
      <w:r w:rsidR="007B1B02" w:rsidRPr="00D43838">
        <w:rPr>
          <w:sz w:val="26"/>
          <w:szCs w:val="26"/>
        </w:rPr>
        <w:t>1</w:t>
      </w:r>
      <w:r w:rsidRPr="00D43838">
        <w:rPr>
          <w:sz w:val="26"/>
          <w:szCs w:val="26"/>
        </w:rPr>
        <w:t> млн. руб</w:t>
      </w:r>
      <w:r w:rsidR="00D33BCC" w:rsidRPr="00D43838">
        <w:rPr>
          <w:sz w:val="26"/>
          <w:szCs w:val="26"/>
        </w:rPr>
        <w:t>лей</w:t>
      </w:r>
      <w:r w:rsidRPr="00D43838">
        <w:rPr>
          <w:sz w:val="26"/>
          <w:szCs w:val="26"/>
        </w:rPr>
        <w:t xml:space="preserve">, </w:t>
      </w:r>
      <w:r w:rsidR="007B1B02" w:rsidRPr="00D43838">
        <w:rPr>
          <w:sz w:val="26"/>
          <w:szCs w:val="26"/>
        </w:rPr>
        <w:t>что в товарной массе на 4,4% больше показателя прошлого года.</w:t>
      </w:r>
    </w:p>
    <w:p w:rsidR="00D91478" w:rsidRDefault="00D91478" w:rsidP="007B1B02">
      <w:pPr>
        <w:ind w:firstLine="540"/>
        <w:jc w:val="both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430302" cy="314710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3BCC" w:rsidRPr="00D43838" w:rsidRDefault="007B1B02" w:rsidP="00BD2740">
      <w:pPr>
        <w:pStyle w:val="a9"/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За 2014 год в структуре оборота розничной торговли удельный вес продовольственных товаров составил 44,1%, непродовольственных – 55,9%, в 2013 году – 46,3% и 53,7% соответственно</w:t>
      </w:r>
      <w:r w:rsidR="00D33BCC" w:rsidRPr="00D43838">
        <w:rPr>
          <w:sz w:val="26"/>
          <w:szCs w:val="26"/>
        </w:rPr>
        <w:t xml:space="preserve">. </w:t>
      </w:r>
    </w:p>
    <w:p w:rsidR="007B1B02" w:rsidRPr="00D43838" w:rsidRDefault="00D33BCC" w:rsidP="00BD2740">
      <w:pPr>
        <w:pStyle w:val="a9"/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Продовольственных товаров продано на 1602,9 млн. рублей, что на уровне прошлого года (99,5%), непродовольственных товаров – на 2031,1 млн. рублей (110,8%).</w:t>
      </w:r>
    </w:p>
    <w:p w:rsidR="00411C0D" w:rsidRPr="00D43838" w:rsidRDefault="00411C0D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Среднедушевой оборот розничной торговли в месяц составил 7725,9 рублей. В рейтинге 42 муниципальных образований Иркутской области по данному показателю Саянск занимает 13 место.</w:t>
      </w:r>
    </w:p>
    <w:p w:rsidR="00D33BCC" w:rsidRPr="00D43838" w:rsidRDefault="00D33BCC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На 1 января 2015 года в предприятиях розничной торговли имелось товарных запасов на 102,7 млн. рублей, что составляет 125,0% к соответствующему периоду предыдущего года.</w:t>
      </w:r>
    </w:p>
    <w:p w:rsidR="007056F4" w:rsidRPr="00D43838" w:rsidRDefault="002B0B8A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Обеспеченность населения торговыми площадями </w:t>
      </w:r>
      <w:r w:rsidR="007056F4" w:rsidRPr="00D43838">
        <w:rPr>
          <w:sz w:val="26"/>
          <w:szCs w:val="26"/>
        </w:rPr>
        <w:t xml:space="preserve">на 1 тыс. человек </w:t>
      </w:r>
      <w:r w:rsidRPr="00D43838">
        <w:rPr>
          <w:sz w:val="26"/>
          <w:szCs w:val="26"/>
        </w:rPr>
        <w:t>составляет</w:t>
      </w:r>
      <w:r w:rsidR="00DB5175" w:rsidRPr="00D43838">
        <w:rPr>
          <w:sz w:val="26"/>
          <w:szCs w:val="26"/>
        </w:rPr>
        <w:t xml:space="preserve"> </w:t>
      </w:r>
      <w:r w:rsidRPr="00D43838">
        <w:rPr>
          <w:sz w:val="26"/>
          <w:szCs w:val="26"/>
        </w:rPr>
        <w:t>9</w:t>
      </w:r>
      <w:r w:rsidR="00414881" w:rsidRPr="00D43838">
        <w:rPr>
          <w:sz w:val="26"/>
          <w:szCs w:val="26"/>
        </w:rPr>
        <w:t>21</w:t>
      </w:r>
      <w:r w:rsidRPr="00D43838">
        <w:rPr>
          <w:sz w:val="26"/>
          <w:szCs w:val="26"/>
        </w:rPr>
        <w:t xml:space="preserve"> кв.м. или 2</w:t>
      </w:r>
      <w:r w:rsidR="00414881" w:rsidRPr="00D43838">
        <w:rPr>
          <w:sz w:val="26"/>
          <w:szCs w:val="26"/>
        </w:rPr>
        <w:t>41</w:t>
      </w:r>
      <w:r w:rsidRPr="00D43838">
        <w:rPr>
          <w:sz w:val="26"/>
          <w:szCs w:val="26"/>
        </w:rPr>
        <w:t>,</w:t>
      </w:r>
      <w:r w:rsidR="00414881" w:rsidRPr="00D43838">
        <w:rPr>
          <w:sz w:val="26"/>
          <w:szCs w:val="26"/>
        </w:rPr>
        <w:t>7</w:t>
      </w:r>
      <w:r w:rsidRPr="00D43838">
        <w:rPr>
          <w:sz w:val="26"/>
          <w:szCs w:val="26"/>
        </w:rPr>
        <w:t xml:space="preserve"> % к нормативу минимальной обеспеченности населения площадью торговых объектов, установленному для города (норматив </w:t>
      </w:r>
      <w:r w:rsidR="007056F4" w:rsidRPr="00D43838">
        <w:rPr>
          <w:sz w:val="26"/>
          <w:szCs w:val="26"/>
        </w:rPr>
        <w:t>-</w:t>
      </w:r>
      <w:r w:rsidRPr="00D43838">
        <w:rPr>
          <w:sz w:val="26"/>
          <w:szCs w:val="26"/>
        </w:rPr>
        <w:t>381 кв.м.</w:t>
      </w:r>
      <w:r w:rsidR="00655CA2" w:rsidRPr="00D43838">
        <w:rPr>
          <w:sz w:val="26"/>
          <w:szCs w:val="26"/>
        </w:rPr>
        <w:t xml:space="preserve"> на 1 тыс. человек</w:t>
      </w:r>
      <w:r w:rsidRPr="00D43838">
        <w:rPr>
          <w:sz w:val="26"/>
          <w:szCs w:val="26"/>
        </w:rPr>
        <w:t>)</w:t>
      </w:r>
      <w:r w:rsidR="007056F4" w:rsidRPr="00D43838">
        <w:rPr>
          <w:sz w:val="26"/>
          <w:szCs w:val="26"/>
        </w:rPr>
        <w:t xml:space="preserve">, в том числе: по продовольственным товарам </w:t>
      </w:r>
      <w:r w:rsidR="00D43838">
        <w:rPr>
          <w:sz w:val="26"/>
          <w:szCs w:val="26"/>
        </w:rPr>
        <w:t>-</w:t>
      </w:r>
      <w:r w:rsidR="007056F4" w:rsidRPr="00D43838">
        <w:rPr>
          <w:sz w:val="26"/>
          <w:szCs w:val="26"/>
        </w:rPr>
        <w:t xml:space="preserve"> 272,4 кв.м. или  234,8 % (норматив - 116 кв.м.</w:t>
      </w:r>
      <w:r w:rsidR="00655CA2" w:rsidRPr="00D43838">
        <w:rPr>
          <w:sz w:val="26"/>
          <w:szCs w:val="26"/>
        </w:rPr>
        <w:t xml:space="preserve"> на 1 тыс. человек</w:t>
      </w:r>
      <w:r w:rsidR="007056F4" w:rsidRPr="00D43838">
        <w:rPr>
          <w:sz w:val="26"/>
          <w:szCs w:val="26"/>
        </w:rPr>
        <w:t xml:space="preserve">), непродовольственными товарами </w:t>
      </w:r>
      <w:r w:rsidR="00D43838">
        <w:rPr>
          <w:sz w:val="26"/>
          <w:szCs w:val="26"/>
        </w:rPr>
        <w:t xml:space="preserve">- </w:t>
      </w:r>
      <w:r w:rsidR="007056F4" w:rsidRPr="00D43838">
        <w:rPr>
          <w:sz w:val="26"/>
          <w:szCs w:val="26"/>
        </w:rPr>
        <w:t>648,6 кв.м. или 244,8 % (норматив - 265 кв.м.</w:t>
      </w:r>
      <w:r w:rsidR="00655CA2" w:rsidRPr="00D43838">
        <w:rPr>
          <w:sz w:val="26"/>
          <w:szCs w:val="26"/>
        </w:rPr>
        <w:t xml:space="preserve"> на 1 тыс. человек</w:t>
      </w:r>
      <w:r w:rsidR="007056F4" w:rsidRPr="00D43838">
        <w:rPr>
          <w:sz w:val="26"/>
          <w:szCs w:val="26"/>
        </w:rPr>
        <w:t>)</w:t>
      </w:r>
      <w:r w:rsidRPr="00D43838">
        <w:rPr>
          <w:sz w:val="26"/>
          <w:szCs w:val="26"/>
        </w:rPr>
        <w:t xml:space="preserve">. </w:t>
      </w:r>
    </w:p>
    <w:p w:rsidR="002B0B8A" w:rsidRPr="00D43838" w:rsidRDefault="002B0B8A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 сравнении с 201</w:t>
      </w:r>
      <w:r w:rsidR="00835E4F" w:rsidRPr="00D43838">
        <w:rPr>
          <w:sz w:val="26"/>
          <w:szCs w:val="26"/>
        </w:rPr>
        <w:t>3</w:t>
      </w:r>
      <w:r w:rsidRPr="00D43838">
        <w:rPr>
          <w:sz w:val="26"/>
          <w:szCs w:val="26"/>
        </w:rPr>
        <w:t xml:space="preserve"> годом рост фактической обеспеченности торговыми площадями по городу составил </w:t>
      </w:r>
      <w:r w:rsidR="007056F4" w:rsidRPr="00D43838">
        <w:rPr>
          <w:sz w:val="26"/>
          <w:szCs w:val="26"/>
        </w:rPr>
        <w:t>1</w:t>
      </w:r>
      <w:r w:rsidRPr="00D43838">
        <w:rPr>
          <w:sz w:val="26"/>
          <w:szCs w:val="26"/>
        </w:rPr>
        <w:t>,</w:t>
      </w:r>
      <w:r w:rsidR="007056F4" w:rsidRPr="00D43838">
        <w:rPr>
          <w:sz w:val="26"/>
          <w:szCs w:val="26"/>
        </w:rPr>
        <w:t>7 </w:t>
      </w:r>
      <w:r w:rsidRPr="00D43838">
        <w:rPr>
          <w:sz w:val="26"/>
          <w:szCs w:val="26"/>
        </w:rPr>
        <w:t>%</w:t>
      </w:r>
      <w:r w:rsidR="007056F4" w:rsidRPr="00D43838">
        <w:rPr>
          <w:sz w:val="26"/>
          <w:szCs w:val="26"/>
        </w:rPr>
        <w:t>, в том числе</w:t>
      </w:r>
      <w:r w:rsidR="00655CA2" w:rsidRPr="00D43838">
        <w:rPr>
          <w:sz w:val="26"/>
          <w:szCs w:val="26"/>
        </w:rPr>
        <w:t>:</w:t>
      </w:r>
      <w:r w:rsidR="007056F4" w:rsidRPr="00D43838">
        <w:rPr>
          <w:sz w:val="26"/>
          <w:szCs w:val="26"/>
        </w:rPr>
        <w:t xml:space="preserve"> по продовольственным товарам – 2,5 %, по непродовольственным – 1,3 %</w:t>
      </w:r>
      <w:r w:rsidR="00922C0E" w:rsidRPr="00D43838">
        <w:rPr>
          <w:sz w:val="26"/>
          <w:szCs w:val="26"/>
        </w:rPr>
        <w:t>.</w:t>
      </w:r>
      <w:r w:rsidRPr="00D43838">
        <w:rPr>
          <w:sz w:val="26"/>
          <w:szCs w:val="26"/>
        </w:rPr>
        <w:t xml:space="preserve"> </w:t>
      </w:r>
      <w:r w:rsidR="00922C0E" w:rsidRPr="00D43838">
        <w:rPr>
          <w:sz w:val="26"/>
          <w:szCs w:val="26"/>
        </w:rPr>
        <w:t>(Для справки фактическая обеспеченность населения площадью торговых объектов в Иркутской области составляет 815 кв.м. на 1 тыс. человек и превышает минимальный норматив на 74,1% (норматив - 468 кв. м. на 1 тыс. человек), рост за год на 6,1%).</w:t>
      </w:r>
    </w:p>
    <w:p w:rsidR="003A08AD" w:rsidRPr="00D43838" w:rsidRDefault="003A08AD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Существующая структура розничной торговли города включает в себя:</w:t>
      </w:r>
    </w:p>
    <w:p w:rsidR="003A08AD" w:rsidRPr="00D43838" w:rsidRDefault="003A08AD" w:rsidP="00226AB1">
      <w:pPr>
        <w:ind w:left="567" w:hanging="283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</w:t>
      </w:r>
      <w:r w:rsidR="00ED6980">
        <w:rPr>
          <w:sz w:val="26"/>
          <w:szCs w:val="26"/>
        </w:rPr>
        <w:t> </w:t>
      </w:r>
      <w:r w:rsidRPr="00D43838">
        <w:rPr>
          <w:sz w:val="26"/>
          <w:szCs w:val="26"/>
        </w:rPr>
        <w:t>20 торговых комплексов, торговой площадью 23126,2 кв.м., в том числе: продовольственной – 7045,9 кв.м. и непродовольственной – 16080,3 кв.м.;</w:t>
      </w:r>
    </w:p>
    <w:p w:rsidR="003A08AD" w:rsidRPr="00D43838" w:rsidRDefault="003A08AD" w:rsidP="00226AB1">
      <w:pPr>
        <w:ind w:left="567" w:hanging="283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</w:t>
      </w:r>
      <w:r w:rsidR="00ED6980">
        <w:rPr>
          <w:sz w:val="26"/>
          <w:szCs w:val="26"/>
        </w:rPr>
        <w:t> </w:t>
      </w:r>
      <w:r w:rsidRPr="00D43838">
        <w:rPr>
          <w:sz w:val="26"/>
          <w:szCs w:val="26"/>
        </w:rPr>
        <w:t xml:space="preserve">5 универсальных магазинов, торговой площадью 1462,5 кв.м., в том числе: </w:t>
      </w:r>
      <w:r w:rsidR="00226AB1" w:rsidRPr="00D43838">
        <w:rPr>
          <w:sz w:val="26"/>
          <w:szCs w:val="26"/>
        </w:rPr>
        <w:t>продовольственной – 751,1 кв.м. и непродовольственной – 711,4 кв.м.;</w:t>
      </w:r>
    </w:p>
    <w:p w:rsidR="003A08AD" w:rsidRPr="00D43838" w:rsidRDefault="003A08AD" w:rsidP="00226AB1">
      <w:pPr>
        <w:ind w:left="567" w:hanging="283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- 49 непродовольственных магазинов, торговой площадью 8328,6 кв.м.;</w:t>
      </w:r>
    </w:p>
    <w:p w:rsidR="003A08AD" w:rsidRPr="00D43838" w:rsidRDefault="003A08AD" w:rsidP="00226AB1">
      <w:pPr>
        <w:ind w:left="567" w:hanging="283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- 42 продовольственных магазинов, торговой площадью 2683,8 кв.м.;</w:t>
      </w:r>
    </w:p>
    <w:p w:rsidR="003A08AD" w:rsidRPr="00D43838" w:rsidRDefault="003A08AD" w:rsidP="00226AB1">
      <w:pPr>
        <w:ind w:left="567" w:hanging="283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ED6980">
        <w:rPr>
          <w:sz w:val="26"/>
          <w:szCs w:val="26"/>
        </w:rPr>
        <w:t xml:space="preserve">8 </w:t>
      </w:r>
      <w:r w:rsidRPr="00D43838">
        <w:rPr>
          <w:sz w:val="26"/>
          <w:szCs w:val="26"/>
        </w:rPr>
        <w:t>павильонов, торговой площадью 214,7 кв.м.</w:t>
      </w:r>
      <w:r w:rsidR="00226AB1" w:rsidRPr="00D43838">
        <w:rPr>
          <w:sz w:val="26"/>
          <w:szCs w:val="26"/>
        </w:rPr>
        <w:t>, в том числе продовольственной – 112,2 кв.м. и непродовольственной – 102,5 кв.м.</w:t>
      </w:r>
      <w:r w:rsidRPr="00D43838">
        <w:rPr>
          <w:sz w:val="26"/>
          <w:szCs w:val="26"/>
        </w:rPr>
        <w:t>;</w:t>
      </w:r>
    </w:p>
    <w:p w:rsidR="003A08AD" w:rsidRPr="00D43838" w:rsidRDefault="003A08AD" w:rsidP="00226AB1">
      <w:pPr>
        <w:ind w:left="284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- 15 киосков.</w:t>
      </w:r>
    </w:p>
    <w:p w:rsidR="002A0F01" w:rsidRPr="00D43838" w:rsidRDefault="002A0F01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Для формирования потребительского спроса на продукцию местного и регионального производства, стабилизации розничных цен в городском округе </w:t>
      </w:r>
      <w:r w:rsidRPr="00D43838">
        <w:rPr>
          <w:sz w:val="26"/>
          <w:szCs w:val="26"/>
        </w:rPr>
        <w:lastRenderedPageBreak/>
        <w:t>функционирует торговая сеть товаропроизводителей из 77 объектов (2013г. – 60), осуществляется мониторинг розничных цен на социально значимые товары первой необходимости.</w:t>
      </w:r>
    </w:p>
    <w:p w:rsidR="002A0F01" w:rsidRPr="00D43838" w:rsidRDefault="002A0F01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 целях поддержки социально-незащищенных слоев населения продолжена реализация проекта «Социальная политика на благо каждого жителя города</w:t>
      </w:r>
      <w:r w:rsidR="008F11F1" w:rsidRPr="00D43838">
        <w:rPr>
          <w:sz w:val="26"/>
          <w:szCs w:val="26"/>
        </w:rPr>
        <w:t xml:space="preserve"> Саянска</w:t>
      </w:r>
      <w:r w:rsidRPr="00D43838">
        <w:rPr>
          <w:sz w:val="26"/>
          <w:szCs w:val="26"/>
        </w:rPr>
        <w:t xml:space="preserve">». Участники проекта реализуют для всего населения города социально значимые товары продовольственные в 12-ти отделах (2013г. – 12) и непродовольственные - в 6-ти </w:t>
      </w:r>
      <w:r w:rsidR="00ED6980" w:rsidRPr="00D43838">
        <w:rPr>
          <w:sz w:val="26"/>
          <w:szCs w:val="26"/>
        </w:rPr>
        <w:t>(2013г. – 9)</w:t>
      </w:r>
      <w:r w:rsidR="00ED6980">
        <w:rPr>
          <w:sz w:val="26"/>
          <w:szCs w:val="26"/>
        </w:rPr>
        <w:t xml:space="preserve"> </w:t>
      </w:r>
      <w:r w:rsidRPr="00D43838">
        <w:rPr>
          <w:sz w:val="26"/>
          <w:szCs w:val="26"/>
        </w:rPr>
        <w:t>по ценам с низкой торговой надбавкой.</w:t>
      </w:r>
    </w:p>
    <w:p w:rsidR="000E2FC5" w:rsidRPr="00D43838" w:rsidRDefault="000E2FC5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С целью привлечения индивидуальных предпринимателей, крестьянско-фермерских и личных подсобных хозяйств, осуществляющих производство продуктов питания </w:t>
      </w:r>
      <w:r w:rsidR="002A0F01" w:rsidRPr="00D43838">
        <w:rPr>
          <w:sz w:val="26"/>
          <w:szCs w:val="26"/>
        </w:rPr>
        <w:t xml:space="preserve">на территории </w:t>
      </w:r>
      <w:r w:rsidRPr="00D43838">
        <w:rPr>
          <w:sz w:val="26"/>
          <w:szCs w:val="26"/>
        </w:rPr>
        <w:t>проведено 6 сезонных ярмарок на 23 торговых места (2013г. – 6), 5 праздничных ярмарок, число участников – 73 (2013г. – 5), 36 ярмарок «выходного дня» (2013г. – 40).</w:t>
      </w:r>
    </w:p>
    <w:p w:rsidR="000E2FC5" w:rsidRPr="00D43838" w:rsidRDefault="000E2FC5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 весенне-летний период организована работа «зеленных рынков» на 37 торговых мест по продаже ягод, плодов, овощей, зелени, рассады и плодовых кустарников.</w:t>
      </w:r>
    </w:p>
    <w:p w:rsidR="000E2FC5" w:rsidRPr="00D43838" w:rsidRDefault="000E2FC5" w:rsidP="00BD2740">
      <w:pPr>
        <w:ind w:firstLine="709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 целях повышения качества товаров и культуры обслуживания населения проведены</w:t>
      </w:r>
      <w:r w:rsidR="00BD2740" w:rsidRPr="00D43838">
        <w:rPr>
          <w:sz w:val="26"/>
          <w:szCs w:val="26"/>
        </w:rPr>
        <w:t xml:space="preserve"> мероприятия</w:t>
      </w:r>
      <w:r w:rsidRPr="00D43838">
        <w:rPr>
          <w:sz w:val="26"/>
          <w:szCs w:val="26"/>
        </w:rPr>
        <w:t>:</w:t>
      </w:r>
    </w:p>
    <w:p w:rsidR="000E2FC5" w:rsidRPr="00D43838" w:rsidRDefault="000E2FC5" w:rsidP="000E2FC5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2A0F01" w:rsidRPr="00D43838">
        <w:rPr>
          <w:sz w:val="26"/>
          <w:szCs w:val="26"/>
        </w:rPr>
        <w:t>2</w:t>
      </w:r>
      <w:r w:rsidRPr="00D43838">
        <w:rPr>
          <w:sz w:val="26"/>
          <w:szCs w:val="26"/>
        </w:rPr>
        <w:t xml:space="preserve"> месячника качества товаров и услуг</w:t>
      </w:r>
      <w:r w:rsidR="002A0F01" w:rsidRPr="00D43838">
        <w:rPr>
          <w:sz w:val="26"/>
          <w:szCs w:val="26"/>
        </w:rPr>
        <w:t xml:space="preserve"> (2013г. – 4)</w:t>
      </w:r>
      <w:r w:rsidRPr="00D43838">
        <w:rPr>
          <w:sz w:val="26"/>
          <w:szCs w:val="26"/>
        </w:rPr>
        <w:t xml:space="preserve">. В период проведения месячников была организована работа </w:t>
      </w:r>
      <w:r w:rsidR="002A0F01" w:rsidRPr="00D43838">
        <w:rPr>
          <w:sz w:val="26"/>
          <w:szCs w:val="26"/>
        </w:rPr>
        <w:t>2</w:t>
      </w:r>
      <w:r w:rsidRPr="00D43838">
        <w:rPr>
          <w:sz w:val="26"/>
          <w:szCs w:val="26"/>
        </w:rPr>
        <w:t>-х «горячих линий» по вопросам качества и безопасности ранних овощей и фруктов, мяса и иных продуктов животноводства, защиты прав потребителей</w:t>
      </w:r>
      <w:r w:rsidR="002A0F01" w:rsidRPr="00D43838">
        <w:rPr>
          <w:sz w:val="26"/>
          <w:szCs w:val="26"/>
        </w:rPr>
        <w:t xml:space="preserve"> (2013г. – 3)</w:t>
      </w:r>
      <w:r w:rsidRPr="00D43838">
        <w:rPr>
          <w:sz w:val="26"/>
          <w:szCs w:val="26"/>
        </w:rPr>
        <w:t>, а также постоянно действующая «горячая линия» по вопросам соблюдения требований законодательства к розничной продаже алкогольной продукции, табачных изделий.</w:t>
      </w:r>
    </w:p>
    <w:p w:rsidR="000E2FC5" w:rsidRPr="00D43838" w:rsidRDefault="000E2FC5" w:rsidP="000E2FC5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мониторинг </w:t>
      </w:r>
      <w:r w:rsidR="00723814" w:rsidRPr="00D43838">
        <w:rPr>
          <w:sz w:val="26"/>
          <w:szCs w:val="26"/>
        </w:rPr>
        <w:t xml:space="preserve">объектов </w:t>
      </w:r>
      <w:r w:rsidRPr="00D43838">
        <w:rPr>
          <w:sz w:val="26"/>
          <w:szCs w:val="26"/>
        </w:rPr>
        <w:t>торговли на предмет выявления нарушений правил оказания услуг</w:t>
      </w:r>
      <w:r w:rsidR="00723814" w:rsidRPr="00D43838">
        <w:rPr>
          <w:sz w:val="26"/>
          <w:szCs w:val="26"/>
        </w:rPr>
        <w:t>, благоустройств</w:t>
      </w:r>
      <w:r w:rsidR="00BD2740" w:rsidRPr="00D43838">
        <w:rPr>
          <w:sz w:val="26"/>
          <w:szCs w:val="26"/>
        </w:rPr>
        <w:t>а прилегающих территорий и внешнего вида объектов</w:t>
      </w:r>
      <w:r w:rsidR="00723814" w:rsidRPr="00D43838">
        <w:rPr>
          <w:sz w:val="26"/>
          <w:szCs w:val="26"/>
        </w:rPr>
        <w:t>, соблюдени</w:t>
      </w:r>
      <w:r w:rsidR="00BD2740" w:rsidRPr="00D43838">
        <w:rPr>
          <w:sz w:val="26"/>
          <w:szCs w:val="26"/>
        </w:rPr>
        <w:t>я</w:t>
      </w:r>
      <w:r w:rsidR="00723814" w:rsidRPr="00D43838">
        <w:rPr>
          <w:sz w:val="26"/>
          <w:szCs w:val="26"/>
        </w:rPr>
        <w:t xml:space="preserve"> требований антитабачного законодательства</w:t>
      </w:r>
      <w:r w:rsidRPr="00D43838">
        <w:rPr>
          <w:sz w:val="26"/>
          <w:szCs w:val="26"/>
        </w:rPr>
        <w:t>.</w:t>
      </w:r>
    </w:p>
    <w:p w:rsidR="000E2FC5" w:rsidRPr="00D43838" w:rsidRDefault="000E2FC5" w:rsidP="000E2FC5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723814" w:rsidRPr="00D43838">
        <w:rPr>
          <w:sz w:val="26"/>
          <w:szCs w:val="26"/>
        </w:rPr>
        <w:t xml:space="preserve">1 </w:t>
      </w:r>
      <w:r w:rsidRPr="00D43838">
        <w:rPr>
          <w:sz w:val="26"/>
          <w:szCs w:val="26"/>
        </w:rPr>
        <w:t xml:space="preserve">семинар с предпринимателями по изменениям законодательства, регулирующего розничную продажу алкогольной </w:t>
      </w:r>
      <w:r w:rsidR="00723814" w:rsidRPr="00D43838">
        <w:rPr>
          <w:sz w:val="26"/>
          <w:szCs w:val="26"/>
        </w:rPr>
        <w:t xml:space="preserve">и табачной </w:t>
      </w:r>
      <w:r w:rsidRPr="00D43838">
        <w:rPr>
          <w:sz w:val="26"/>
          <w:szCs w:val="26"/>
        </w:rPr>
        <w:t>продукции.</w:t>
      </w:r>
    </w:p>
    <w:p w:rsidR="002B0B8A" w:rsidRDefault="002B0B8A" w:rsidP="0003727A">
      <w:pPr>
        <w:ind w:firstLine="540"/>
        <w:jc w:val="both"/>
        <w:rPr>
          <w:sz w:val="16"/>
          <w:szCs w:val="16"/>
        </w:rPr>
      </w:pPr>
    </w:p>
    <w:p w:rsidR="00BD2740" w:rsidRPr="00560B8C" w:rsidRDefault="008E419F" w:rsidP="008E419F">
      <w:pPr>
        <w:jc w:val="center"/>
        <w:rPr>
          <w:b/>
          <w:sz w:val="28"/>
          <w:szCs w:val="28"/>
        </w:rPr>
      </w:pPr>
      <w:r w:rsidRPr="00560B8C">
        <w:rPr>
          <w:b/>
          <w:sz w:val="28"/>
          <w:szCs w:val="28"/>
        </w:rPr>
        <w:t>Общественное питание</w:t>
      </w:r>
    </w:p>
    <w:p w:rsidR="00B15875" w:rsidRPr="00D43838" w:rsidRDefault="00B1587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Общественное питание занимает заметное место в инфраструктуре потребительского рынка.</w:t>
      </w:r>
      <w:r w:rsidR="00AA7FAC" w:rsidRPr="00D43838">
        <w:rPr>
          <w:sz w:val="26"/>
          <w:szCs w:val="26"/>
        </w:rPr>
        <w:t xml:space="preserve"> Оборот общественного питания в 2014 году составил 231,3 млн. рублей, что в товарной массе на 2,3% меньше показателя прошлого года.</w:t>
      </w:r>
    </w:p>
    <w:p w:rsidR="00AA7FAC" w:rsidRDefault="007D52C2" w:rsidP="007D52C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16500" cy="3263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3838" w:rsidRDefault="00D43838" w:rsidP="00826A35">
      <w:pPr>
        <w:ind w:firstLine="567"/>
        <w:jc w:val="both"/>
        <w:rPr>
          <w:sz w:val="28"/>
          <w:szCs w:val="28"/>
        </w:rPr>
      </w:pPr>
    </w:p>
    <w:p w:rsidR="00AA7FAC" w:rsidRPr="00D43838" w:rsidRDefault="007D52C2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lastRenderedPageBreak/>
        <w:t xml:space="preserve">Среднедушевой оборот </w:t>
      </w:r>
      <w:r w:rsidR="00826A35" w:rsidRPr="00D43838">
        <w:rPr>
          <w:sz w:val="26"/>
          <w:szCs w:val="26"/>
        </w:rPr>
        <w:t xml:space="preserve">общественного питания </w:t>
      </w:r>
      <w:r w:rsidRPr="00D43838">
        <w:rPr>
          <w:sz w:val="26"/>
          <w:szCs w:val="26"/>
        </w:rPr>
        <w:t>в месяц составил</w:t>
      </w:r>
      <w:r w:rsidR="00826A35" w:rsidRPr="00D43838">
        <w:rPr>
          <w:sz w:val="26"/>
          <w:szCs w:val="26"/>
        </w:rPr>
        <w:t xml:space="preserve"> 491</w:t>
      </w:r>
      <w:r w:rsidRPr="00D43838">
        <w:rPr>
          <w:sz w:val="26"/>
          <w:szCs w:val="26"/>
        </w:rPr>
        <w:t>,</w:t>
      </w:r>
      <w:r w:rsidR="00826A35" w:rsidRPr="00D43838">
        <w:rPr>
          <w:sz w:val="26"/>
          <w:szCs w:val="26"/>
        </w:rPr>
        <w:t>7</w:t>
      </w:r>
      <w:r w:rsidRPr="00D43838">
        <w:rPr>
          <w:sz w:val="26"/>
          <w:szCs w:val="26"/>
        </w:rPr>
        <w:t xml:space="preserve"> рублей</w:t>
      </w:r>
      <w:r w:rsidR="00826A35" w:rsidRPr="00D43838">
        <w:rPr>
          <w:sz w:val="26"/>
          <w:szCs w:val="26"/>
        </w:rPr>
        <w:t xml:space="preserve"> – это 4 место</w:t>
      </w:r>
      <w:r w:rsidRPr="00D43838">
        <w:rPr>
          <w:sz w:val="26"/>
          <w:szCs w:val="26"/>
        </w:rPr>
        <w:t xml:space="preserve"> </w:t>
      </w:r>
      <w:r w:rsidR="00826A35" w:rsidRPr="00D43838">
        <w:rPr>
          <w:sz w:val="26"/>
          <w:szCs w:val="26"/>
        </w:rPr>
        <w:t>в</w:t>
      </w:r>
      <w:r w:rsidRPr="00D43838">
        <w:rPr>
          <w:sz w:val="26"/>
          <w:szCs w:val="26"/>
        </w:rPr>
        <w:t xml:space="preserve"> рейтинге 42 муниципальных образований Иркутской области</w:t>
      </w:r>
      <w:r w:rsidR="00826A35" w:rsidRPr="00D43838">
        <w:rPr>
          <w:sz w:val="26"/>
          <w:szCs w:val="26"/>
        </w:rPr>
        <w:t>.</w:t>
      </w:r>
      <w:r w:rsidRPr="00D43838">
        <w:rPr>
          <w:sz w:val="26"/>
          <w:szCs w:val="26"/>
        </w:rPr>
        <w:t xml:space="preserve"> 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 городе осуществляют деятельность: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8F11F1" w:rsidRPr="00D43838">
        <w:rPr>
          <w:sz w:val="26"/>
          <w:szCs w:val="26"/>
        </w:rPr>
        <w:t xml:space="preserve">2 </w:t>
      </w:r>
      <w:r w:rsidRPr="00D43838">
        <w:rPr>
          <w:sz w:val="26"/>
          <w:szCs w:val="26"/>
        </w:rPr>
        <w:t>ресторан</w:t>
      </w:r>
      <w:r w:rsidR="008F11F1" w:rsidRPr="00D43838">
        <w:rPr>
          <w:sz w:val="26"/>
          <w:szCs w:val="26"/>
        </w:rPr>
        <w:t>а на 147 п.</w:t>
      </w:r>
      <w:r w:rsidR="00C7741F" w:rsidRPr="00D43838">
        <w:rPr>
          <w:sz w:val="26"/>
          <w:szCs w:val="26"/>
        </w:rPr>
        <w:t xml:space="preserve"> </w:t>
      </w:r>
      <w:r w:rsidR="008F11F1" w:rsidRPr="00D43838">
        <w:rPr>
          <w:sz w:val="26"/>
          <w:szCs w:val="26"/>
        </w:rPr>
        <w:t>мест</w:t>
      </w:r>
      <w:r w:rsidRPr="00D43838">
        <w:rPr>
          <w:sz w:val="26"/>
          <w:szCs w:val="26"/>
        </w:rPr>
        <w:t>;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8F11F1" w:rsidRPr="00D43838">
        <w:rPr>
          <w:sz w:val="26"/>
          <w:szCs w:val="26"/>
        </w:rPr>
        <w:t xml:space="preserve">11 </w:t>
      </w:r>
      <w:r w:rsidRPr="00D43838">
        <w:rPr>
          <w:sz w:val="26"/>
          <w:szCs w:val="26"/>
        </w:rPr>
        <w:t>кафе</w:t>
      </w:r>
      <w:r w:rsidR="008F11F1" w:rsidRPr="00D43838">
        <w:rPr>
          <w:sz w:val="26"/>
          <w:szCs w:val="26"/>
        </w:rPr>
        <w:t xml:space="preserve"> на 461 п.</w:t>
      </w:r>
      <w:r w:rsidR="00C7741F" w:rsidRPr="00D43838">
        <w:rPr>
          <w:sz w:val="26"/>
          <w:szCs w:val="26"/>
        </w:rPr>
        <w:t xml:space="preserve"> </w:t>
      </w:r>
      <w:r w:rsidR="008F11F1" w:rsidRPr="00D43838">
        <w:rPr>
          <w:sz w:val="26"/>
          <w:szCs w:val="26"/>
        </w:rPr>
        <w:t>место;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C7741F" w:rsidRPr="00D43838">
        <w:rPr>
          <w:sz w:val="26"/>
          <w:szCs w:val="26"/>
        </w:rPr>
        <w:t xml:space="preserve">3 </w:t>
      </w:r>
      <w:r w:rsidRPr="00D43838">
        <w:rPr>
          <w:sz w:val="26"/>
          <w:szCs w:val="26"/>
        </w:rPr>
        <w:t>бар</w:t>
      </w:r>
      <w:r w:rsidR="00C7741F" w:rsidRPr="00D43838">
        <w:rPr>
          <w:sz w:val="26"/>
          <w:szCs w:val="26"/>
        </w:rPr>
        <w:t>а на 104 п. места;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C7741F" w:rsidRPr="00D43838">
        <w:rPr>
          <w:sz w:val="26"/>
          <w:szCs w:val="26"/>
        </w:rPr>
        <w:t xml:space="preserve">8 </w:t>
      </w:r>
      <w:r w:rsidRPr="00D43838">
        <w:rPr>
          <w:sz w:val="26"/>
          <w:szCs w:val="26"/>
        </w:rPr>
        <w:t>закусочных</w:t>
      </w:r>
      <w:r w:rsidR="00C7741F" w:rsidRPr="00D43838">
        <w:rPr>
          <w:sz w:val="26"/>
          <w:szCs w:val="26"/>
        </w:rPr>
        <w:t xml:space="preserve"> на 152 п. места;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C7741F" w:rsidRPr="00D43838">
        <w:rPr>
          <w:sz w:val="26"/>
          <w:szCs w:val="26"/>
        </w:rPr>
        <w:t xml:space="preserve">18 </w:t>
      </w:r>
      <w:r w:rsidRPr="00D43838">
        <w:rPr>
          <w:sz w:val="26"/>
          <w:szCs w:val="26"/>
        </w:rPr>
        <w:t>столовых</w:t>
      </w:r>
      <w:r w:rsidR="00C7741F" w:rsidRPr="00D43838">
        <w:rPr>
          <w:sz w:val="26"/>
          <w:szCs w:val="26"/>
        </w:rPr>
        <w:t xml:space="preserve"> на 2678 п. мест;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AC31FE" w:rsidRPr="00D43838">
        <w:rPr>
          <w:sz w:val="26"/>
          <w:szCs w:val="26"/>
        </w:rPr>
        <w:t xml:space="preserve">5 </w:t>
      </w:r>
      <w:r w:rsidRPr="00D43838">
        <w:rPr>
          <w:sz w:val="26"/>
          <w:szCs w:val="26"/>
        </w:rPr>
        <w:t>кафетери</w:t>
      </w:r>
      <w:r w:rsidR="00AC31FE" w:rsidRPr="00D43838">
        <w:rPr>
          <w:sz w:val="26"/>
          <w:szCs w:val="26"/>
        </w:rPr>
        <w:t>ев</w:t>
      </w:r>
      <w:r w:rsidRPr="00D43838">
        <w:rPr>
          <w:sz w:val="26"/>
          <w:szCs w:val="26"/>
        </w:rPr>
        <w:t>,</w:t>
      </w:r>
    </w:p>
    <w:p w:rsidR="00AC31FE" w:rsidRPr="00D43838" w:rsidRDefault="00AC31FE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 буфет,</w:t>
      </w:r>
    </w:p>
    <w:p w:rsidR="00AC31FE" w:rsidRPr="00D43838" w:rsidRDefault="00AC31FE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- 2 кулинарии;</w:t>
      </w:r>
    </w:p>
    <w:p w:rsidR="00AC31FE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AC31FE" w:rsidRPr="00D43838">
        <w:rPr>
          <w:sz w:val="26"/>
          <w:szCs w:val="26"/>
        </w:rPr>
        <w:t>1</w:t>
      </w:r>
      <w:r w:rsidR="00896324" w:rsidRPr="00D43838">
        <w:rPr>
          <w:sz w:val="26"/>
          <w:szCs w:val="26"/>
        </w:rPr>
        <w:t xml:space="preserve"> </w:t>
      </w:r>
      <w:r w:rsidRPr="00D43838">
        <w:rPr>
          <w:sz w:val="26"/>
          <w:szCs w:val="26"/>
        </w:rPr>
        <w:t>предприяти</w:t>
      </w:r>
      <w:r w:rsidR="00ED6980">
        <w:rPr>
          <w:sz w:val="26"/>
          <w:szCs w:val="26"/>
        </w:rPr>
        <w:t>е</w:t>
      </w:r>
      <w:r w:rsidRPr="00D43838">
        <w:rPr>
          <w:sz w:val="26"/>
          <w:szCs w:val="26"/>
        </w:rPr>
        <w:t xml:space="preserve"> быстрого питания</w:t>
      </w:r>
      <w:r w:rsidR="00AC31FE" w:rsidRPr="00D43838">
        <w:rPr>
          <w:sz w:val="26"/>
          <w:szCs w:val="26"/>
        </w:rPr>
        <w:t>;</w:t>
      </w:r>
    </w:p>
    <w:p w:rsidR="00826A35" w:rsidRPr="00D43838" w:rsidRDefault="00AC31FE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</w:t>
      </w:r>
      <w:r w:rsidR="00896324" w:rsidRPr="00D43838">
        <w:rPr>
          <w:sz w:val="26"/>
          <w:szCs w:val="26"/>
        </w:rPr>
        <w:t>5</w:t>
      </w:r>
      <w:r w:rsidRPr="00D43838">
        <w:rPr>
          <w:sz w:val="26"/>
          <w:szCs w:val="26"/>
        </w:rPr>
        <w:t xml:space="preserve"> автомат</w:t>
      </w:r>
      <w:r w:rsidR="00ED6980">
        <w:rPr>
          <w:sz w:val="26"/>
          <w:szCs w:val="26"/>
        </w:rPr>
        <w:t>ов</w:t>
      </w:r>
      <w:r w:rsidRPr="00D43838">
        <w:rPr>
          <w:sz w:val="26"/>
          <w:szCs w:val="26"/>
        </w:rPr>
        <w:t xml:space="preserve"> по продаже кофе</w:t>
      </w:r>
      <w:r w:rsidR="00826A35" w:rsidRPr="00D43838">
        <w:rPr>
          <w:sz w:val="26"/>
          <w:szCs w:val="26"/>
        </w:rPr>
        <w:t>.</w:t>
      </w:r>
    </w:p>
    <w:p w:rsidR="00826A35" w:rsidRPr="00D43838" w:rsidRDefault="00826A35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Сеть предприятий общественного питания расширяется за счет открытия </w:t>
      </w:r>
      <w:r w:rsidR="00BF1AA9" w:rsidRPr="00D43838">
        <w:rPr>
          <w:sz w:val="26"/>
          <w:szCs w:val="26"/>
        </w:rPr>
        <w:t xml:space="preserve">предприятий общедоступной сети, в том числе </w:t>
      </w:r>
      <w:r w:rsidRPr="00D43838">
        <w:rPr>
          <w:sz w:val="26"/>
          <w:szCs w:val="26"/>
        </w:rPr>
        <w:t xml:space="preserve">объектов быстрого питания: пиццерий, блинных, автоматов по продаже </w:t>
      </w:r>
      <w:r w:rsidR="00BF1AA9" w:rsidRPr="00D43838">
        <w:rPr>
          <w:sz w:val="26"/>
          <w:szCs w:val="26"/>
        </w:rPr>
        <w:t>кофе и кофейных напитков.</w:t>
      </w:r>
    </w:p>
    <w:p w:rsidR="00E26537" w:rsidRPr="00D43838" w:rsidRDefault="00BF1AA9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Обеспеченность посадочными местами в общедоступной сети составляет </w:t>
      </w:r>
      <w:r w:rsidR="00E26537" w:rsidRPr="00D43838">
        <w:rPr>
          <w:sz w:val="26"/>
          <w:szCs w:val="26"/>
        </w:rPr>
        <w:t>22</w:t>
      </w:r>
      <w:r w:rsidRPr="00D43838">
        <w:rPr>
          <w:sz w:val="26"/>
          <w:szCs w:val="26"/>
        </w:rPr>
        <w:t xml:space="preserve"> посадочн</w:t>
      </w:r>
      <w:r w:rsidR="00E26537" w:rsidRPr="00D43838">
        <w:rPr>
          <w:sz w:val="26"/>
          <w:szCs w:val="26"/>
        </w:rPr>
        <w:t>ое</w:t>
      </w:r>
      <w:r w:rsidRPr="00D43838">
        <w:rPr>
          <w:sz w:val="26"/>
          <w:szCs w:val="26"/>
        </w:rPr>
        <w:t xml:space="preserve"> мест</w:t>
      </w:r>
      <w:r w:rsidR="00E26537" w:rsidRPr="00D43838">
        <w:rPr>
          <w:sz w:val="26"/>
          <w:szCs w:val="26"/>
        </w:rPr>
        <w:t>о</w:t>
      </w:r>
      <w:r w:rsidRPr="00D43838">
        <w:rPr>
          <w:sz w:val="26"/>
          <w:szCs w:val="26"/>
        </w:rPr>
        <w:t xml:space="preserve"> на 1 тыс. человек при социальном нормативе обеспеченности 40 посадочных мест или </w:t>
      </w:r>
      <w:r w:rsidR="00E26537" w:rsidRPr="00D43838">
        <w:rPr>
          <w:sz w:val="26"/>
          <w:szCs w:val="26"/>
        </w:rPr>
        <w:t>54</w:t>
      </w:r>
      <w:r w:rsidRPr="00D43838">
        <w:rPr>
          <w:sz w:val="26"/>
          <w:szCs w:val="26"/>
        </w:rPr>
        <w:t xml:space="preserve">% от норматива. В отчетном периоде </w:t>
      </w:r>
      <w:r w:rsidR="00E26537" w:rsidRPr="00D43838">
        <w:rPr>
          <w:sz w:val="26"/>
          <w:szCs w:val="26"/>
        </w:rPr>
        <w:t xml:space="preserve">произошло сокращение </w:t>
      </w:r>
      <w:r w:rsidRPr="00D43838">
        <w:rPr>
          <w:sz w:val="26"/>
          <w:szCs w:val="26"/>
        </w:rPr>
        <w:t>общедоступной сети предприятий</w:t>
      </w:r>
      <w:r w:rsidR="00E26537" w:rsidRPr="00D43838">
        <w:rPr>
          <w:sz w:val="26"/>
          <w:szCs w:val="26"/>
        </w:rPr>
        <w:t xml:space="preserve"> (кафе, ресторанов, баров) на 4 единицы в связи со снижением покупательской способности населения.</w:t>
      </w:r>
      <w:r w:rsidRPr="00D43838">
        <w:rPr>
          <w:sz w:val="26"/>
          <w:szCs w:val="26"/>
        </w:rPr>
        <w:t xml:space="preserve"> </w:t>
      </w:r>
    </w:p>
    <w:p w:rsidR="00BF1AA9" w:rsidRPr="00D43838" w:rsidRDefault="00BF1AA9" w:rsidP="00826A35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Важным экономическим и социальным аспектом является питание рабочих и служащих, учащихся образовательных учреждений города. В целом закрытая сеть представлена </w:t>
      </w:r>
      <w:r w:rsidR="00C37C57" w:rsidRPr="00D43838">
        <w:rPr>
          <w:sz w:val="26"/>
          <w:szCs w:val="26"/>
        </w:rPr>
        <w:t>22</w:t>
      </w:r>
      <w:r w:rsidRPr="00D43838">
        <w:rPr>
          <w:sz w:val="26"/>
          <w:szCs w:val="26"/>
        </w:rPr>
        <w:t xml:space="preserve"> предприятиями или </w:t>
      </w:r>
      <w:r w:rsidR="00C37C57" w:rsidRPr="00D43838">
        <w:rPr>
          <w:sz w:val="26"/>
          <w:szCs w:val="26"/>
        </w:rPr>
        <w:t>39,2 </w:t>
      </w:r>
      <w:r w:rsidRPr="00D43838">
        <w:rPr>
          <w:sz w:val="26"/>
          <w:szCs w:val="26"/>
        </w:rPr>
        <w:t>% от общего количества предприятий</w:t>
      </w:r>
      <w:r w:rsidR="00D108C1" w:rsidRPr="00D43838">
        <w:rPr>
          <w:sz w:val="26"/>
          <w:szCs w:val="26"/>
        </w:rPr>
        <w:t xml:space="preserve"> общественного питания</w:t>
      </w:r>
      <w:r w:rsidRPr="00D43838">
        <w:rPr>
          <w:sz w:val="26"/>
          <w:szCs w:val="26"/>
        </w:rPr>
        <w:t>, в том числе</w:t>
      </w:r>
      <w:r w:rsidR="00D108C1" w:rsidRPr="00D43838">
        <w:rPr>
          <w:sz w:val="26"/>
          <w:szCs w:val="26"/>
        </w:rPr>
        <w:t>:</w:t>
      </w:r>
      <w:r w:rsidRPr="00D43838">
        <w:rPr>
          <w:sz w:val="26"/>
          <w:szCs w:val="26"/>
        </w:rPr>
        <w:t xml:space="preserve"> при учебных заведениях</w:t>
      </w:r>
      <w:r w:rsidR="00C37C57" w:rsidRPr="00D43838">
        <w:rPr>
          <w:sz w:val="26"/>
          <w:szCs w:val="26"/>
        </w:rPr>
        <w:t xml:space="preserve"> - 9</w:t>
      </w:r>
      <w:r w:rsidRPr="00D43838">
        <w:rPr>
          <w:sz w:val="26"/>
          <w:szCs w:val="26"/>
        </w:rPr>
        <w:t>, при промпредприятиях и учреждениях</w:t>
      </w:r>
      <w:r w:rsidR="00D108C1" w:rsidRPr="00D43838">
        <w:rPr>
          <w:sz w:val="26"/>
          <w:szCs w:val="26"/>
        </w:rPr>
        <w:t xml:space="preserve"> </w:t>
      </w:r>
      <w:r w:rsidR="00C37C57" w:rsidRPr="00D43838">
        <w:rPr>
          <w:sz w:val="26"/>
          <w:szCs w:val="26"/>
        </w:rPr>
        <w:t>- 13</w:t>
      </w:r>
      <w:r w:rsidRPr="00D43838">
        <w:rPr>
          <w:sz w:val="26"/>
          <w:szCs w:val="26"/>
        </w:rPr>
        <w:t>.</w:t>
      </w:r>
    </w:p>
    <w:p w:rsidR="00560B8C" w:rsidRDefault="00560B8C" w:rsidP="00826A35">
      <w:pPr>
        <w:ind w:firstLine="567"/>
        <w:jc w:val="both"/>
        <w:rPr>
          <w:sz w:val="28"/>
          <w:szCs w:val="28"/>
        </w:rPr>
      </w:pPr>
    </w:p>
    <w:p w:rsidR="00560B8C" w:rsidRPr="00560B8C" w:rsidRDefault="00560B8C" w:rsidP="00560B8C">
      <w:pPr>
        <w:jc w:val="center"/>
        <w:rPr>
          <w:b/>
          <w:sz w:val="28"/>
          <w:szCs w:val="28"/>
        </w:rPr>
      </w:pPr>
      <w:r w:rsidRPr="00560B8C">
        <w:rPr>
          <w:b/>
          <w:sz w:val="28"/>
          <w:szCs w:val="28"/>
        </w:rPr>
        <w:t>Бытовое обслуживание</w:t>
      </w:r>
    </w:p>
    <w:p w:rsidR="00E87E22" w:rsidRPr="00D43838" w:rsidRDefault="00560B8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Потребительский рынок бытовых услуг достаточно разнообразен. Среди бытовых услуг развиваются наиболее востребованные виды услуг:  услуги парикмахерских, ремонт и техобслуживание транспортных средств, машин и оборудования, ремонт и строительство жилья. Достаточно развиты социально значимые бытовые услуги</w:t>
      </w:r>
      <w:r w:rsidR="003F5508" w:rsidRPr="00D43838">
        <w:rPr>
          <w:sz w:val="26"/>
          <w:szCs w:val="26"/>
        </w:rPr>
        <w:t>: по ремонту обуви, одежды, сложнобытовой техники, фото услуги, парикмахерские.</w:t>
      </w:r>
    </w:p>
    <w:p w:rsidR="00E87E22" w:rsidRPr="00D43838" w:rsidRDefault="00E87E22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В городе оказывают бытовые услуги:</w:t>
      </w:r>
    </w:p>
    <w:p w:rsidR="00E87E22" w:rsidRPr="00D43838" w:rsidRDefault="00E87E22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- 15 обувных мастерских;</w:t>
      </w:r>
    </w:p>
    <w:p w:rsidR="00E87E22" w:rsidRPr="00D43838" w:rsidRDefault="00E87E22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- 14 ателье и мастерских по пошиву и ремонту одежды, трикотажных изделий;</w:t>
      </w:r>
    </w:p>
    <w:p w:rsidR="00E87E22" w:rsidRPr="00D43838" w:rsidRDefault="00E87E22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- 13 мастерских </w:t>
      </w:r>
      <w:r w:rsidR="00B913F7" w:rsidRPr="00D43838">
        <w:rPr>
          <w:sz w:val="26"/>
          <w:szCs w:val="26"/>
        </w:rPr>
        <w:t xml:space="preserve"> </w:t>
      </w:r>
      <w:r w:rsidRPr="00D43838">
        <w:rPr>
          <w:sz w:val="26"/>
          <w:szCs w:val="26"/>
        </w:rPr>
        <w:t>по ремонту бытовых машин и приборов, радиоэлектронной аппаратуры, ЭВМ, изготовлению металлоизделий;</w:t>
      </w:r>
    </w:p>
    <w:p w:rsidR="00E87E22" w:rsidRPr="00D43838" w:rsidRDefault="00E87E22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- 2 предприятия по ремонту и изготовлению ювелирных изделий;</w:t>
      </w:r>
    </w:p>
    <w:p w:rsidR="00E87E22" w:rsidRPr="00D43838" w:rsidRDefault="00E87E22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- 25 предприятий по ремонту и техническому обслуживанию и мойке автотранспортных средств;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- 2 предприятия по изготовлению и ремонту мебели;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- 9 пунктов приема по изготовлению и ремонту мебели;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 предприятие по чистке пухо-перовых изделий;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- 3 прачечных;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- 5 фотоателье;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- 2 бани;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- 40 парикмахерских;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- 6 предприятий проката услуг;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- 4 предприятия ритуальных услуг;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- 1 пункт приема по оказанию обрядовых услуг;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- 8 ломбардов;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lastRenderedPageBreak/>
        <w:t>- 20 пунктов по приему ремонта жилья;</w:t>
      </w:r>
    </w:p>
    <w:p w:rsidR="0057629C" w:rsidRPr="00D43838" w:rsidRDefault="0057629C" w:rsidP="002A0F01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- 4 предприятия по оказанию прочих услуг.</w:t>
      </w:r>
    </w:p>
    <w:p w:rsidR="00B913F7" w:rsidRPr="00D43838" w:rsidRDefault="00B913F7" w:rsidP="0057629C">
      <w:pPr>
        <w:jc w:val="both"/>
        <w:rPr>
          <w:sz w:val="26"/>
          <w:szCs w:val="26"/>
        </w:rPr>
      </w:pPr>
      <w:r w:rsidRPr="00D43838">
        <w:rPr>
          <w:sz w:val="26"/>
          <w:szCs w:val="26"/>
        </w:rPr>
        <w:t>17 предприятий бытового обслуживания участвуют в проекте «Социальн</w:t>
      </w:r>
      <w:r w:rsidR="008F11F1" w:rsidRPr="00D43838">
        <w:rPr>
          <w:sz w:val="26"/>
          <w:szCs w:val="26"/>
        </w:rPr>
        <w:t>ые услуги</w:t>
      </w:r>
      <w:r w:rsidRPr="00D43838">
        <w:rPr>
          <w:sz w:val="26"/>
          <w:szCs w:val="26"/>
        </w:rPr>
        <w:t xml:space="preserve"> на благо каждого жителя города</w:t>
      </w:r>
      <w:r w:rsidR="008F11F1" w:rsidRPr="00D43838">
        <w:rPr>
          <w:sz w:val="26"/>
          <w:szCs w:val="26"/>
        </w:rPr>
        <w:t xml:space="preserve"> Саянска</w:t>
      </w:r>
      <w:r w:rsidRPr="00D43838">
        <w:rPr>
          <w:sz w:val="26"/>
          <w:szCs w:val="26"/>
        </w:rPr>
        <w:t>», оказывая льгот</w:t>
      </w:r>
      <w:r w:rsidR="00E87E22" w:rsidRPr="00D43838">
        <w:rPr>
          <w:sz w:val="26"/>
          <w:szCs w:val="26"/>
        </w:rPr>
        <w:t>ные услуги</w:t>
      </w:r>
      <w:r w:rsidRPr="00D43838">
        <w:rPr>
          <w:sz w:val="26"/>
          <w:szCs w:val="26"/>
        </w:rPr>
        <w:t xml:space="preserve"> ограниченной категории населения (2013г. – 22).</w:t>
      </w:r>
    </w:p>
    <w:p w:rsidR="00A20566" w:rsidRPr="00D43838" w:rsidRDefault="003F5508" w:rsidP="00B913F7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Объем бытовых услуг в 2014 году составил 94,8 млн. руб., что на 4,4% больше показателя прошлого года. </w:t>
      </w:r>
    </w:p>
    <w:p w:rsidR="00A20566" w:rsidRDefault="00693B79" w:rsidP="00693B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6450" cy="3130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D43838" w:rsidRDefault="00D43838" w:rsidP="00B913F7">
      <w:pPr>
        <w:ind w:firstLine="567"/>
        <w:jc w:val="both"/>
        <w:rPr>
          <w:sz w:val="26"/>
          <w:szCs w:val="26"/>
        </w:rPr>
      </w:pPr>
    </w:p>
    <w:p w:rsidR="00AA7FAC" w:rsidRPr="00D43838" w:rsidRDefault="003F5508" w:rsidP="00B913F7">
      <w:pPr>
        <w:ind w:firstLine="567"/>
        <w:jc w:val="both"/>
        <w:rPr>
          <w:sz w:val="26"/>
          <w:szCs w:val="26"/>
        </w:rPr>
      </w:pPr>
      <w:r w:rsidRPr="00D43838">
        <w:rPr>
          <w:sz w:val="26"/>
          <w:szCs w:val="26"/>
        </w:rPr>
        <w:t>На одного жителя в месяц оказывается бытовых услуг на сумму 201,5 рублей (2013г. – 180,6 рублей), по Иркутской области – 2</w:t>
      </w:r>
      <w:r w:rsidR="00B913F7" w:rsidRPr="00D43838">
        <w:rPr>
          <w:sz w:val="26"/>
          <w:szCs w:val="26"/>
        </w:rPr>
        <w:t>44</w:t>
      </w:r>
      <w:r w:rsidRPr="00D43838">
        <w:rPr>
          <w:sz w:val="26"/>
          <w:szCs w:val="26"/>
        </w:rPr>
        <w:t xml:space="preserve"> руб.</w:t>
      </w:r>
      <w:r w:rsidR="00B913F7" w:rsidRPr="00D43838">
        <w:rPr>
          <w:sz w:val="26"/>
          <w:szCs w:val="26"/>
        </w:rPr>
        <w:t xml:space="preserve"> По данному показателю Саянск занимает 6-е место в рейтинге 42 муниципальных образований Иркутской области.</w:t>
      </w:r>
    </w:p>
    <w:p w:rsidR="004A3740" w:rsidRPr="00D43838" w:rsidRDefault="00B913F7" w:rsidP="00AF465F">
      <w:pPr>
        <w:ind w:firstLine="540"/>
        <w:jc w:val="both"/>
        <w:rPr>
          <w:sz w:val="26"/>
          <w:szCs w:val="26"/>
        </w:rPr>
      </w:pPr>
      <w:r w:rsidRPr="00D43838">
        <w:rPr>
          <w:sz w:val="26"/>
          <w:szCs w:val="26"/>
        </w:rPr>
        <w:t xml:space="preserve">В целях повышения культуры бытового обслуживания населения в 2014 году проведен </w:t>
      </w:r>
      <w:r w:rsidR="0057629C" w:rsidRPr="00D43838">
        <w:rPr>
          <w:sz w:val="26"/>
          <w:szCs w:val="26"/>
        </w:rPr>
        <w:t xml:space="preserve">городской </w:t>
      </w:r>
      <w:r w:rsidRPr="00D43838">
        <w:rPr>
          <w:sz w:val="26"/>
          <w:szCs w:val="26"/>
        </w:rPr>
        <w:t>фестиваль парикмахерского искусства «Мир красоты».</w:t>
      </w:r>
    </w:p>
    <w:p w:rsidR="00670ABD" w:rsidRPr="004A3740" w:rsidRDefault="00670ABD" w:rsidP="00670ABD">
      <w:pPr>
        <w:rPr>
          <w:color w:val="00B050"/>
          <w:szCs w:val="28"/>
        </w:rPr>
      </w:pPr>
    </w:p>
    <w:p w:rsidR="00670ABD" w:rsidRDefault="00670ABD" w:rsidP="00AF465F">
      <w:pPr>
        <w:ind w:firstLine="540"/>
        <w:jc w:val="both"/>
        <w:rPr>
          <w:sz w:val="28"/>
          <w:szCs w:val="28"/>
        </w:rPr>
      </w:pPr>
    </w:p>
    <w:p w:rsidR="00670ABD" w:rsidRDefault="00670ABD" w:rsidP="00AF465F">
      <w:pPr>
        <w:ind w:firstLine="540"/>
        <w:jc w:val="both"/>
        <w:rPr>
          <w:sz w:val="28"/>
          <w:szCs w:val="28"/>
        </w:rPr>
      </w:pPr>
    </w:p>
    <w:p w:rsidR="00670ABD" w:rsidRDefault="00670ABD" w:rsidP="00AF465F">
      <w:pPr>
        <w:ind w:firstLine="540"/>
        <w:jc w:val="both"/>
        <w:rPr>
          <w:sz w:val="28"/>
          <w:szCs w:val="28"/>
        </w:rPr>
      </w:pPr>
    </w:p>
    <w:p w:rsidR="00670ABD" w:rsidRDefault="00670ABD" w:rsidP="00AF465F">
      <w:pPr>
        <w:ind w:firstLine="540"/>
        <w:jc w:val="both"/>
        <w:rPr>
          <w:sz w:val="28"/>
          <w:szCs w:val="28"/>
        </w:rPr>
      </w:pPr>
    </w:p>
    <w:p w:rsidR="00670ABD" w:rsidRDefault="00670ABD" w:rsidP="00AF465F">
      <w:pPr>
        <w:ind w:firstLine="540"/>
        <w:jc w:val="both"/>
        <w:rPr>
          <w:sz w:val="28"/>
          <w:szCs w:val="28"/>
        </w:rPr>
      </w:pPr>
    </w:p>
    <w:p w:rsidR="004A3740" w:rsidRDefault="004A3740" w:rsidP="00AF465F">
      <w:pPr>
        <w:ind w:firstLine="540"/>
        <w:rPr>
          <w:sz w:val="28"/>
          <w:szCs w:val="28"/>
        </w:rPr>
      </w:pPr>
    </w:p>
    <w:p w:rsidR="004A3740" w:rsidRDefault="004A3740" w:rsidP="00AF465F">
      <w:pPr>
        <w:ind w:firstLine="540"/>
        <w:rPr>
          <w:sz w:val="28"/>
          <w:szCs w:val="28"/>
        </w:rPr>
      </w:pPr>
    </w:p>
    <w:p w:rsidR="004A3740" w:rsidRDefault="004A3740" w:rsidP="004A3740">
      <w:pPr>
        <w:rPr>
          <w:sz w:val="28"/>
          <w:szCs w:val="28"/>
        </w:rPr>
      </w:pPr>
    </w:p>
    <w:p w:rsidR="004A3740" w:rsidRDefault="004A3740" w:rsidP="004A3740">
      <w:pPr>
        <w:rPr>
          <w:sz w:val="28"/>
          <w:szCs w:val="28"/>
        </w:rPr>
      </w:pPr>
    </w:p>
    <w:p w:rsidR="00F807FB" w:rsidRDefault="00F807FB" w:rsidP="00AF465F">
      <w:pPr>
        <w:ind w:firstLine="540"/>
        <w:rPr>
          <w:sz w:val="28"/>
          <w:szCs w:val="28"/>
        </w:rPr>
      </w:pPr>
    </w:p>
    <w:p w:rsidR="00444D79" w:rsidRDefault="00444D79" w:rsidP="00AF465F">
      <w:pPr>
        <w:ind w:firstLine="432"/>
        <w:jc w:val="both"/>
        <w:rPr>
          <w:b/>
          <w:sz w:val="28"/>
          <w:szCs w:val="28"/>
        </w:rPr>
      </w:pPr>
    </w:p>
    <w:p w:rsidR="00444D79" w:rsidRDefault="00444D79" w:rsidP="00AF465F">
      <w:pPr>
        <w:ind w:firstLine="432"/>
        <w:jc w:val="both"/>
        <w:rPr>
          <w:b/>
          <w:sz w:val="28"/>
          <w:szCs w:val="28"/>
        </w:rPr>
      </w:pPr>
    </w:p>
    <w:p w:rsidR="00444D79" w:rsidRDefault="00444D79" w:rsidP="00AF465F">
      <w:pPr>
        <w:ind w:firstLine="432"/>
        <w:jc w:val="both"/>
        <w:rPr>
          <w:b/>
          <w:sz w:val="28"/>
          <w:szCs w:val="28"/>
        </w:rPr>
      </w:pPr>
    </w:p>
    <w:p w:rsidR="00444D79" w:rsidRDefault="00444D79" w:rsidP="00AF465F">
      <w:pPr>
        <w:ind w:firstLine="432"/>
        <w:jc w:val="both"/>
        <w:rPr>
          <w:b/>
          <w:sz w:val="28"/>
          <w:szCs w:val="28"/>
        </w:rPr>
      </w:pPr>
    </w:p>
    <w:p w:rsidR="00444D79" w:rsidRDefault="00444D79" w:rsidP="00AF465F">
      <w:pPr>
        <w:ind w:firstLine="432"/>
        <w:jc w:val="both"/>
        <w:rPr>
          <w:b/>
          <w:sz w:val="28"/>
          <w:szCs w:val="28"/>
        </w:rPr>
      </w:pPr>
    </w:p>
    <w:p w:rsidR="00444D79" w:rsidRDefault="00444D79" w:rsidP="00AF465F">
      <w:pPr>
        <w:ind w:firstLine="432"/>
        <w:jc w:val="both"/>
        <w:rPr>
          <w:b/>
          <w:sz w:val="28"/>
          <w:szCs w:val="28"/>
        </w:rPr>
      </w:pPr>
    </w:p>
    <w:p w:rsidR="00444D79" w:rsidRDefault="00444D79" w:rsidP="00AF465F">
      <w:pPr>
        <w:ind w:firstLine="432"/>
        <w:jc w:val="both"/>
        <w:rPr>
          <w:b/>
          <w:sz w:val="28"/>
          <w:szCs w:val="28"/>
        </w:rPr>
      </w:pPr>
    </w:p>
    <w:p w:rsidR="00444D79" w:rsidRPr="00452BAC" w:rsidRDefault="00444D79" w:rsidP="00AF465F">
      <w:pPr>
        <w:ind w:firstLine="432"/>
        <w:jc w:val="both"/>
        <w:rPr>
          <w:b/>
          <w:sz w:val="28"/>
          <w:szCs w:val="28"/>
        </w:rPr>
      </w:pPr>
    </w:p>
    <w:sectPr w:rsidR="00444D79" w:rsidRPr="00452BAC" w:rsidSect="00D43838">
      <w:footerReference w:type="even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07" w:rsidRDefault="00690F07" w:rsidP="001E74FC">
      <w:r>
        <w:separator/>
      </w:r>
    </w:p>
  </w:endnote>
  <w:endnote w:type="continuationSeparator" w:id="1">
    <w:p w:rsidR="00690F07" w:rsidRDefault="00690F07" w:rsidP="001E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CD" w:rsidRDefault="0031153E" w:rsidP="002062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0B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6CD" w:rsidRDefault="00690F07" w:rsidP="00021C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07" w:rsidRDefault="00690F07" w:rsidP="001E74FC">
      <w:r>
        <w:separator/>
      </w:r>
    </w:p>
  </w:footnote>
  <w:footnote w:type="continuationSeparator" w:id="1">
    <w:p w:rsidR="00690F07" w:rsidRDefault="00690F07" w:rsidP="001E7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126D"/>
    <w:multiLevelType w:val="hybridMultilevel"/>
    <w:tmpl w:val="716A4862"/>
    <w:lvl w:ilvl="0" w:tplc="3AC28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CE4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C4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25C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02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01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057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F8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E8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5F"/>
    <w:rsid w:val="0003727A"/>
    <w:rsid w:val="0004256C"/>
    <w:rsid w:val="0004583F"/>
    <w:rsid w:val="000C4BC7"/>
    <w:rsid w:val="000E2FC5"/>
    <w:rsid w:val="000F3C66"/>
    <w:rsid w:val="00124282"/>
    <w:rsid w:val="001279AD"/>
    <w:rsid w:val="00146C70"/>
    <w:rsid w:val="0019065F"/>
    <w:rsid w:val="00197302"/>
    <w:rsid w:val="001A2595"/>
    <w:rsid w:val="001E74FC"/>
    <w:rsid w:val="00226AB1"/>
    <w:rsid w:val="00256824"/>
    <w:rsid w:val="002940DC"/>
    <w:rsid w:val="002A0F01"/>
    <w:rsid w:val="002B0B8A"/>
    <w:rsid w:val="0031153E"/>
    <w:rsid w:val="003577EA"/>
    <w:rsid w:val="00360EB8"/>
    <w:rsid w:val="00380B83"/>
    <w:rsid w:val="003A08AD"/>
    <w:rsid w:val="003C2C92"/>
    <w:rsid w:val="003D5AF0"/>
    <w:rsid w:val="003E327B"/>
    <w:rsid w:val="003F5508"/>
    <w:rsid w:val="00411C0D"/>
    <w:rsid w:val="00414881"/>
    <w:rsid w:val="00444D79"/>
    <w:rsid w:val="004A3740"/>
    <w:rsid w:val="0052353A"/>
    <w:rsid w:val="00556CB6"/>
    <w:rsid w:val="00560B8C"/>
    <w:rsid w:val="005711FA"/>
    <w:rsid w:val="0057629C"/>
    <w:rsid w:val="00655CA2"/>
    <w:rsid w:val="00670ABD"/>
    <w:rsid w:val="00690F07"/>
    <w:rsid w:val="00693B79"/>
    <w:rsid w:val="006C7F79"/>
    <w:rsid w:val="006D2036"/>
    <w:rsid w:val="007056F4"/>
    <w:rsid w:val="00723814"/>
    <w:rsid w:val="0074025F"/>
    <w:rsid w:val="00783434"/>
    <w:rsid w:val="007B1B02"/>
    <w:rsid w:val="007D52C2"/>
    <w:rsid w:val="007E2C33"/>
    <w:rsid w:val="008009AD"/>
    <w:rsid w:val="00826A35"/>
    <w:rsid w:val="00835E4F"/>
    <w:rsid w:val="0089143A"/>
    <w:rsid w:val="00896324"/>
    <w:rsid w:val="008B10FE"/>
    <w:rsid w:val="008E419F"/>
    <w:rsid w:val="008F0558"/>
    <w:rsid w:val="008F11F1"/>
    <w:rsid w:val="00922C0E"/>
    <w:rsid w:val="009957C0"/>
    <w:rsid w:val="009C333B"/>
    <w:rsid w:val="009E0C13"/>
    <w:rsid w:val="00A20566"/>
    <w:rsid w:val="00AA7FAC"/>
    <w:rsid w:val="00AC31FE"/>
    <w:rsid w:val="00AC779A"/>
    <w:rsid w:val="00AF465F"/>
    <w:rsid w:val="00B15875"/>
    <w:rsid w:val="00B202CA"/>
    <w:rsid w:val="00B71040"/>
    <w:rsid w:val="00B76824"/>
    <w:rsid w:val="00B913F7"/>
    <w:rsid w:val="00BD2740"/>
    <w:rsid w:val="00BF1AA9"/>
    <w:rsid w:val="00C37C57"/>
    <w:rsid w:val="00C7741F"/>
    <w:rsid w:val="00C860A1"/>
    <w:rsid w:val="00CE4BC2"/>
    <w:rsid w:val="00D108C1"/>
    <w:rsid w:val="00D33BCC"/>
    <w:rsid w:val="00D43838"/>
    <w:rsid w:val="00D63E99"/>
    <w:rsid w:val="00D64439"/>
    <w:rsid w:val="00D91478"/>
    <w:rsid w:val="00DB5175"/>
    <w:rsid w:val="00E25E0A"/>
    <w:rsid w:val="00E26537"/>
    <w:rsid w:val="00E74D55"/>
    <w:rsid w:val="00E8588E"/>
    <w:rsid w:val="00E87E22"/>
    <w:rsid w:val="00E904BB"/>
    <w:rsid w:val="00ED6980"/>
    <w:rsid w:val="00F206F8"/>
    <w:rsid w:val="00F3347C"/>
    <w:rsid w:val="00F807FB"/>
    <w:rsid w:val="00FD20F0"/>
    <w:rsid w:val="00FD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6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46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465F"/>
  </w:style>
  <w:style w:type="paragraph" w:styleId="a6">
    <w:name w:val="Normal (Web)"/>
    <w:basedOn w:val="a"/>
    <w:uiPriority w:val="99"/>
    <w:semiHidden/>
    <w:unhideWhenUsed/>
    <w:rsid w:val="00AC779A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670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ABD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1B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7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7FA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13443333734794669"/>
          <c:y val="0.16276906260753399"/>
          <c:w val="0.7274853801169584"/>
          <c:h val="0.4608208955223884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4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ru-RU" sz="1200"/>
                      <a:t>39</a:t>
                    </a:r>
                    <a:endParaRPr lang="en-US" sz="1200"/>
                  </a:p>
                </c:rich>
              </c:tx>
              <c:showVal val="1"/>
            </c:dLbl>
            <c:dLbl>
              <c:idx val="1"/>
              <c:layout>
                <c:manualLayout>
                  <c:x val="2.6868722763573809E-2"/>
                  <c:y val="-0.23403171377771326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</a:t>
                    </a:r>
                    <a:r>
                      <a:rPr lang="ru-RU" sz="1200"/>
                      <a:t>6</a:t>
                    </a:r>
                    <a:endParaRPr lang="en-US" sz="120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17</a:t>
                    </a:r>
                    <a:r>
                      <a:rPr lang="ru-RU" sz="1200"/>
                      <a:t>4</a:t>
                    </a:r>
                    <a:endParaRPr lang="en-US" sz="1200"/>
                  </a:p>
                </c:rich>
              </c:tx>
              <c:showVal val="1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Предприятия розничной торговли</c:v>
                </c:pt>
                <c:pt idx="1">
                  <c:v>Предприятия общественного питания</c:v>
                </c:pt>
                <c:pt idx="2">
                  <c:v>Предприятия бытового обслуживания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178</c:v>
                </c:pt>
                <c:pt idx="1">
                  <c:v>51</c:v>
                </c:pt>
                <c:pt idx="2">
                  <c:v>171</c:v>
                </c:pt>
              </c:numCache>
            </c:numRef>
          </c:val>
        </c:ser>
        <c:dLbls>
          <c:showVal val="1"/>
        </c:dLbls>
      </c:pie3DChart>
      <c:spPr>
        <a:noFill/>
        <a:ln w="25401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16409542334524108"/>
          <c:y val="0.6729727897936808"/>
          <c:w val="0.7180369199693265"/>
          <c:h val="0.21641791044776146"/>
        </c:manualLayout>
      </c:layout>
      <c:spPr>
        <a:noFill/>
        <a:ln w="25401">
          <a:noFill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490256688736203"/>
          <c:y val="0.1891349418478655"/>
          <c:w val="0.75783015518285679"/>
          <c:h val="0.44743086545254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4F81BD"/>
            </a:solidFill>
            <a:ln w="12701">
              <a:solidFill>
                <a:srgbClr val="000000"/>
              </a:solidFill>
              <a:prstDash val="solid"/>
            </a:ln>
          </c:spPr>
          <c:explosion val="28"/>
          <c:dPt>
            <c:idx val="0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9100959029605835"/>
                  <c:y val="-0.1703728494223809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22</a:t>
                    </a:r>
                    <a:r>
                      <a:rPr lang="ru-RU" sz="1400"/>
                      <a:t>51</a:t>
                    </a:r>
                    <a:endParaRPr lang="en-US" sz="1400"/>
                  </a:p>
                </c:rich>
              </c:tx>
              <c:showVal val="1"/>
            </c:dLbl>
            <c:dLbl>
              <c:idx val="1"/>
              <c:layout>
                <c:manualLayout>
                  <c:x val="0.10160263472220613"/>
                  <c:y val="2.28967998193050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1211322811452691"/>
                  <c:y val="5.84188606276959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506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Торговля (розничная, оптовая)</c:v>
                </c:pt>
                <c:pt idx="1">
                  <c:v>Обществненное питание</c:v>
                </c:pt>
                <c:pt idx="2">
                  <c:v>Бытовое обслуживание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2227</c:v>
                </c:pt>
                <c:pt idx="1">
                  <c:v>365</c:v>
                </c:pt>
                <c:pt idx="2">
                  <c:v>484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C0504D"/>
            </a:solidFill>
            <a:ln w="12701">
              <a:solidFill>
                <a:srgbClr val="000000"/>
              </a:solidFill>
              <a:prstDash val="solid"/>
            </a:ln>
          </c:spPr>
          <c:explosion val="19"/>
          <c:dPt>
            <c:idx val="0"/>
            <c:spPr>
              <a:solidFill>
                <a:srgbClr val="4F81BD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Торговля (розничная, оптовая)</c:v>
                </c:pt>
                <c:pt idx="1">
                  <c:v>Обществненное питание</c:v>
                </c:pt>
                <c:pt idx="2">
                  <c:v>Бытовое обслуживание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00FF"/>
            </a:solidFill>
            <a:ln w="12701">
              <a:solidFill>
                <a:srgbClr val="000000"/>
              </a:solidFill>
              <a:prstDash val="solid"/>
            </a:ln>
          </c:spPr>
          <c:explosion val="19"/>
          <c:dPt>
            <c:idx val="0"/>
            <c:spPr>
              <a:solidFill>
                <a:srgbClr val="4F81BD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Торговля (розничная, оптовая)</c:v>
                </c:pt>
                <c:pt idx="1">
                  <c:v>Обществненное питание</c:v>
                </c:pt>
                <c:pt idx="2">
                  <c:v>Бытовое обслуживание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noFill/>
        <a:ln w="2540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925102863468318"/>
          <c:y val="0.67132629153063172"/>
          <c:w val="0.55266579973992158"/>
          <c:h val="0.24466019417475729"/>
        </c:manualLayout>
      </c:layout>
      <c:spPr>
        <a:noFill/>
        <a:ln w="25403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2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floor>
      <c:spPr>
        <a:noFill/>
        <a:ln w="9525"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0378870272776725"/>
          <c:y val="0.15615277006036898"/>
          <c:w val="0.81618462472252928"/>
          <c:h val="0.70293956899455368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7406440382941684E-2"/>
                  <c:y val="-3.210087981325883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ru-RU" sz="1200" b="1">
                        <a:latin typeface="Arial" pitchFamily="34" charset="0"/>
                        <a:cs typeface="Arial" pitchFamily="34" charset="0"/>
                      </a:rPr>
                      <a:t>,0</a:t>
                    </a:r>
                    <a:endParaRPr lang="en-US" sz="1800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2.2628372497824303E-2"/>
                  <c:y val="-3.2100879813258834E-2"/>
                </c:manualLayout>
              </c:layout>
              <c:showVal val="1"/>
            </c:dLbl>
            <c:dLbl>
              <c:idx val="2"/>
              <c:layout>
                <c:manualLayout>
                  <c:x val="2.6109660574412556E-2"/>
                  <c:y val="-2.9807959826597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Товарооборот!$D$1:$F$1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Товарооборот!$D$2:$F$2</c:f>
              <c:numCache>
                <c:formatCode>General</c:formatCode>
                <c:ptCount val="3"/>
                <c:pt idx="0">
                  <c:v>3</c:v>
                </c:pt>
                <c:pt idx="1">
                  <c:v>3.2</c:v>
                </c:pt>
                <c:pt idx="2">
                  <c:v>3.5</c:v>
                </c:pt>
              </c:numCache>
            </c:numRef>
          </c:val>
        </c:ser>
        <c:shape val="cylinder"/>
        <c:axId val="85432192"/>
        <c:axId val="86185856"/>
        <c:axId val="0"/>
      </c:bar3DChart>
      <c:catAx>
        <c:axId val="85432192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1200" b="1" i="0" strike="noStrike" baseline="0">
                <a:latin typeface="Arial" pitchFamily="34" charset="0"/>
              </a:defRPr>
            </a:pPr>
            <a:endParaRPr lang="ru-RU"/>
          </a:p>
        </c:txPr>
        <c:crossAx val="86185856"/>
        <c:crosses val="autoZero"/>
        <c:auto val="1"/>
        <c:lblAlgn val="ctr"/>
        <c:lblOffset val="100"/>
      </c:catAx>
      <c:valAx>
        <c:axId val="86185856"/>
        <c:scaling>
          <c:orientation val="minMax"/>
        </c:scaling>
        <c:delete val="1"/>
        <c:axPos val="l"/>
        <c:numFmt formatCode="General" sourceLinked="1"/>
        <c:tickLblPos val="nextTo"/>
        <c:crossAx val="85432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>
          <a:noFill/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6.1221967507226152E-2"/>
          <c:y val="0.18367321302735989"/>
          <c:w val="0.86996112827668692"/>
          <c:h val="0.72756119979165956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FA71"/>
            </a:solidFill>
          </c:spPr>
          <c:dLbls>
            <c:dLbl>
              <c:idx val="0"/>
              <c:layout>
                <c:manualLayout>
                  <c:x val="2.6365348399246705E-2"/>
                  <c:y val="-3.379092243675122E-2"/>
                </c:manualLayout>
              </c:layout>
              <c:showVal val="1"/>
            </c:dLbl>
            <c:dLbl>
              <c:idx val="1"/>
              <c:layout>
                <c:manualLayout>
                  <c:x val="2.2598870056497182E-2"/>
                  <c:y val="-3.9422742842876432E-2"/>
                </c:manualLayout>
              </c:layout>
              <c:showVal val="1"/>
            </c:dLbl>
            <c:dLbl>
              <c:idx val="2"/>
              <c:layout>
                <c:manualLayout>
                  <c:x val="2.0715630885122412E-2"/>
                  <c:y val="-3.942274284287648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Товарооборот!$D$5:$F$5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Товарооборот!$D$6:$F$6</c:f>
              <c:numCache>
                <c:formatCode>General</c:formatCode>
                <c:ptCount val="3"/>
                <c:pt idx="0">
                  <c:v>225.7</c:v>
                </c:pt>
                <c:pt idx="1">
                  <c:v>251.8</c:v>
                </c:pt>
                <c:pt idx="2">
                  <c:v>231.3</c:v>
                </c:pt>
              </c:numCache>
            </c:numRef>
          </c:val>
        </c:ser>
        <c:shape val="cylinder"/>
        <c:axId val="130393600"/>
        <c:axId val="130395136"/>
        <c:axId val="0"/>
      </c:bar3DChart>
      <c:catAx>
        <c:axId val="130393600"/>
        <c:scaling>
          <c:orientation val="minMax"/>
        </c:scaling>
        <c:axPos val="b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1100" b="1"/>
            </a:pPr>
            <a:endParaRPr lang="ru-RU"/>
          </a:p>
        </c:txPr>
        <c:crossAx val="130395136"/>
        <c:crosses val="autoZero"/>
        <c:auto val="1"/>
        <c:lblAlgn val="ctr"/>
        <c:lblOffset val="100"/>
      </c:catAx>
      <c:valAx>
        <c:axId val="130395136"/>
        <c:scaling>
          <c:orientation val="minMax"/>
        </c:scaling>
        <c:delete val="1"/>
        <c:axPos val="l"/>
        <c:numFmt formatCode="General" sourceLinked="1"/>
        <c:tickLblPos val="nextTo"/>
        <c:crossAx val="130393600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>
          <a:noFill/>
        </a:ln>
      </c:spPr>
    </c:floor>
    <c:plotArea>
      <c:layout>
        <c:manualLayout>
          <c:layoutTarget val="inner"/>
          <c:xMode val="edge"/>
          <c:yMode val="edge"/>
          <c:x val="9.9592066596356971E-2"/>
          <c:y val="0.22717237669769458"/>
          <c:w val="0.82162210867984842"/>
          <c:h val="0.68966516756562923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3529411764705879E-2"/>
                  <c:y val="-3.4078803431494012E-2"/>
                </c:manualLayout>
              </c:layout>
              <c:showVal val="1"/>
            </c:dLbl>
            <c:dLbl>
              <c:idx val="1"/>
              <c:layout>
                <c:manualLayout>
                  <c:x val="1.7647058823529412E-2"/>
                  <c:y val="-3.6918703717451838E-2"/>
                </c:manualLayout>
              </c:layout>
              <c:showVal val="1"/>
            </c:dLbl>
            <c:dLbl>
              <c:idx val="2"/>
              <c:layout>
                <c:manualLayout>
                  <c:x val="2.3529411764705879E-2"/>
                  <c:y val="-3.40788034314940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Товарооборот!$D$9:$F$9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Товарооборот!$D$10:$F$10</c:f>
              <c:numCache>
                <c:formatCode>General</c:formatCode>
                <c:ptCount val="3"/>
                <c:pt idx="0">
                  <c:v>87.5</c:v>
                </c:pt>
                <c:pt idx="1">
                  <c:v>85.5</c:v>
                </c:pt>
                <c:pt idx="2">
                  <c:v>94.8</c:v>
                </c:pt>
              </c:numCache>
            </c:numRef>
          </c:val>
        </c:ser>
        <c:shape val="cylinder"/>
        <c:axId val="139538432"/>
        <c:axId val="139541504"/>
        <c:axId val="0"/>
      </c:bar3DChart>
      <c:catAx>
        <c:axId val="139538432"/>
        <c:scaling>
          <c:orientation val="minMax"/>
        </c:scaling>
        <c:axPos val="b"/>
        <c:tickLblPos val="nextTo"/>
        <c:spPr>
          <a:ln>
            <a:noFill/>
          </a:ln>
        </c:spPr>
        <c:txPr>
          <a:bodyPr/>
          <a:lstStyle/>
          <a:p>
            <a:pPr>
              <a:defRPr sz="1100" b="1" i="0" baseline="0"/>
            </a:pPr>
            <a:endParaRPr lang="ru-RU"/>
          </a:p>
        </c:txPr>
        <c:crossAx val="139541504"/>
        <c:crosses val="autoZero"/>
        <c:auto val="1"/>
        <c:lblAlgn val="ctr"/>
        <c:lblOffset val="100"/>
      </c:catAx>
      <c:valAx>
        <c:axId val="139541504"/>
        <c:scaling>
          <c:orientation val="minMax"/>
        </c:scaling>
        <c:delete val="1"/>
        <c:axPos val="l"/>
        <c:numFmt formatCode="General" sourceLinked="1"/>
        <c:tickLblPos val="nextTo"/>
        <c:crossAx val="13953843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0.10926</cdr:x>
      <cdr:y>0.04494</cdr:y>
    </cdr:from>
    <cdr:to>
      <cdr:x>0.91211</cdr:x>
      <cdr:y>0.18352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84200" y="152400"/>
          <a:ext cx="4292600" cy="469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 dirty="0">
              <a:solidFill>
                <a:schemeClr val="tx1"/>
              </a:solidFill>
              <a:effectLst/>
              <a:latin typeface="Times New Roman" pitchFamily="18" charset="0"/>
            </a:rPr>
            <a:t>Структура предприятий потребительского рынка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0.09162</cdr:x>
      <cdr:y>0.05307</cdr:y>
    </cdr:from>
    <cdr:to>
      <cdr:x>0.92514</cdr:x>
      <cdr:y>0.17413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0700" y="203200"/>
          <a:ext cx="4737100" cy="463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0.02122</cdr:x>
      <cdr:y>0.03648</cdr:y>
    </cdr:from>
    <cdr:to>
      <cdr:x>0.98143</cdr:x>
      <cdr:y>0.12254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01600" y="105863"/>
          <a:ext cx="4597400" cy="249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Численность работающих на предприятиях потребительского рынка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0.10052</cdr:x>
      <cdr:y>0.03746</cdr:y>
    </cdr:from>
    <cdr:to>
      <cdr:x>0.92298</cdr:x>
      <cdr:y>0.16619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3425" y="185739"/>
          <a:ext cx="6000750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0.06397</cdr:x>
      <cdr:y>0.04385</cdr:y>
    </cdr:from>
    <cdr:to>
      <cdr:x>0.94648</cdr:x>
      <cdr:y>0.10339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47376" y="138002"/>
          <a:ext cx="4792296" cy="1873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0.07441</cdr:x>
      <cdr:y>0.0303</cdr:y>
    </cdr:from>
    <cdr:to>
      <cdr:x>0.95692</cdr:x>
      <cdr:y>0.18004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04069" y="95367"/>
          <a:ext cx="4792296" cy="471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Оборот розничной торговли в </a:t>
          </a:r>
          <a:r>
            <a:rPr lang="ru-RU" b="1">
              <a:latin typeface="Times New Roman" pitchFamily="18" charset="0"/>
              <a:cs typeface="Times New Roman" pitchFamily="18" charset="0"/>
            </a:rPr>
            <a:t>2012-2014г.г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.</a:t>
          </a:r>
        </a:p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(млрд. руб.)</a:t>
          </a:r>
        </a:p>
      </cdr:txBody>
    </cdr:sp>
  </cdr:relSizeAnchor>
  <cdr:relSizeAnchor xmlns:cdr="http://schemas.openxmlformats.org/drawingml/2006/chartDrawing">
    <cdr:from>
      <cdr:x>0.20888</cdr:x>
      <cdr:y>0.51505</cdr:y>
    </cdr:from>
    <cdr:to>
      <cdr:x>0.31332</cdr:x>
      <cdr:y>0.60275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524000" y="2852740"/>
          <a:ext cx="762000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0.72324</cdr:x>
      <cdr:y>0.16595</cdr:y>
    </cdr:from>
    <cdr:to>
      <cdr:x>0.81201</cdr:x>
      <cdr:y>0.25022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5276851" y="919165"/>
          <a:ext cx="647700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0.06497</cdr:x>
      <cdr:y>0.05491</cdr:y>
    </cdr:from>
    <cdr:to>
      <cdr:x>0.9435</cdr:x>
      <cdr:y>0.18585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8150" y="247650"/>
          <a:ext cx="5924550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0.06356</cdr:x>
      <cdr:y>0.06336</cdr:y>
    </cdr:from>
    <cdr:to>
      <cdr:x>0.95621</cdr:x>
      <cdr:y>0.20486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28625" y="285750"/>
          <a:ext cx="6019800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Оборот общественного питания в 2012-2014г.г.</a:t>
          </a:r>
        </a:p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(млн. руб.)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0.08088</cdr:x>
      <cdr:y>0.04579</cdr:y>
    </cdr:from>
    <cdr:to>
      <cdr:x>0.90735</cdr:x>
      <cdr:y>0.20114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4949" y="153234"/>
          <a:ext cx="4035777" cy="519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Объем бытовых услуг в 2012-2014г.г.</a:t>
          </a:r>
        </a:p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(млн. руб.)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4CC0-F5D2-479E-B452-180448A2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Минеева Т.Ю.</cp:lastModifiedBy>
  <cp:revision>32</cp:revision>
  <cp:lastPrinted>2015-05-15T03:42:00Z</cp:lastPrinted>
  <dcterms:created xsi:type="dcterms:W3CDTF">2015-02-19T01:58:00Z</dcterms:created>
  <dcterms:modified xsi:type="dcterms:W3CDTF">2015-05-15T03:57:00Z</dcterms:modified>
</cp:coreProperties>
</file>