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55" w:rsidRPr="00E31F55" w:rsidRDefault="00E31F55" w:rsidP="00E31F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Специальную оценку условий  труда</w:t>
      </w: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мест необходимо проводить всем организациям и предпринимателям, которые заключили хотя бы один трудовой договор. Исключение составляют надомники и дистанционные работники, чьи рабочие места не подпадают под СОУТ. За отказ от специальной оценки действуют весьма существенные штрафы.</w:t>
      </w:r>
    </w:p>
    <w:p w:rsidR="00E31F55" w:rsidRPr="00E31F55" w:rsidRDefault="00E31F55" w:rsidP="00E31F55">
      <w:pPr>
        <w:spacing w:before="100" w:beforeAutospacing="1" w:after="30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такое специальная оценка условий труда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комплекс мероприятий, цель которого — установить наличие вредных факторов на каждом рабочем месте и присвоить ему класс риска. Об этом сказано в статье 1 Федерального закона </w:t>
      </w:r>
      <w:hyperlink r:id="rId6" w:tgtFrame="_blank" w:history="1">
        <w:r w:rsidRPr="00E31F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от 28.12.13 № 426-ФЗ</w:t>
        </w:r>
      </w:hyperlink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 специальной оценке условий труда» (далее — Закон о СОУТ).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четыре класса риска:</w:t>
      </w:r>
    </w:p>
    <w:p w:rsidR="00E31F55" w:rsidRPr="00E31F55" w:rsidRDefault="00E31F55" w:rsidP="00E31F55">
      <w:pPr>
        <w:numPr>
          <w:ilvl w:val="0"/>
          <w:numId w:val="2"/>
        </w:numPr>
        <w:spacing w:after="120" w:line="390" w:lineRule="atLeast"/>
        <w:ind w:left="13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</w:t>
      </w:r>
      <w:proofErr w:type="gram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(1.0): опасные и (или) вредные производственные факторы либо совсем отсутствуют, либо находятся на безопасном для человека уровне. Созданы предпосылки для поддержания высокого уровня работоспособности.</w:t>
      </w:r>
    </w:p>
    <w:p w:rsidR="00E31F55" w:rsidRPr="00E31F55" w:rsidRDefault="00E31F55" w:rsidP="00E31F55">
      <w:pPr>
        <w:numPr>
          <w:ilvl w:val="0"/>
          <w:numId w:val="2"/>
        </w:numPr>
        <w:spacing w:after="120" w:line="390" w:lineRule="atLeast"/>
        <w:ind w:left="13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Допустимый (2.0): есть опасные и (или) вредные факторы, но их воздействие не превышает уровни, установленные гигиеническими нормативами. Измененное функциональное состояние организма восстанавливается во время отдыха, к началу следующего рабочего дня или смены.</w:t>
      </w:r>
    </w:p>
    <w:p w:rsidR="00E31F55" w:rsidRPr="00E31F55" w:rsidRDefault="00E31F55" w:rsidP="00E31F55">
      <w:pPr>
        <w:numPr>
          <w:ilvl w:val="0"/>
          <w:numId w:val="2"/>
        </w:numPr>
        <w:spacing w:after="120" w:line="390" w:lineRule="atLeast"/>
        <w:ind w:left="13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Вредный (3.0): уровни воздействия негативных факторов превышают норматив. Подразделяется на подклассы: первой степени (3.1), второй степени (3.2), третьей степени (3.3) и четвертой степени (3.4).</w:t>
      </w:r>
    </w:p>
    <w:p w:rsidR="00E31F55" w:rsidRPr="00E31F55" w:rsidRDefault="00E31F55" w:rsidP="00E31F55">
      <w:pPr>
        <w:numPr>
          <w:ilvl w:val="0"/>
          <w:numId w:val="2"/>
        </w:numPr>
        <w:spacing w:after="120" w:line="390" w:lineRule="atLeast"/>
        <w:ind w:left="13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Опасный</w:t>
      </w:r>
      <w:proofErr w:type="gram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(4.0): уровни воздействия негативных производственных факторов способны создать угрозу жизни работника, а последствия — привести к развитию профессионального заболевания.</w:t>
      </w:r>
    </w:p>
    <w:p w:rsidR="00E31F55" w:rsidRPr="00E31F55" w:rsidRDefault="00E31F55" w:rsidP="00E31F55">
      <w:pPr>
        <w:spacing w:before="375"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СОУТ используются, в числе прочего, при назначении скидок и надбавок к тарифу взносов «на травматизм» и </w:t>
      </w:r>
      <w:proofErr w:type="spell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доптарифов</w:t>
      </w:r>
      <w:proofErr w:type="spell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пенсионным взносам. Сотрудникам, которые трудятся на рабочих местах, отнесенных к вредному классу (подклассы 3.2, 3.3 и 3.4) или опасному классу, предоставляются дополнительные отпуска (ст. </w:t>
      </w:r>
      <w:hyperlink r:id="rId7" w:anchor="h5264" w:tgtFrame="_blank" w:history="1">
        <w:r w:rsidRPr="00E31F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117</w:t>
        </w:r>
      </w:hyperlink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ТК РФ). Для классов 3.0 и 4.0 предусмотрено повышение к зарплате в размере </w:t>
      </w:r>
      <w:r w:rsidRPr="00E3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 менее 4% оклада или ставки (ст. </w:t>
      </w:r>
      <w:hyperlink r:id="rId8" w:anchor="h5357" w:tgtFrame="_blank" w:history="1">
        <w:r w:rsidRPr="00E31F55">
          <w:rPr>
            <w:rStyle w:val="a4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147</w:t>
        </w:r>
      </w:hyperlink>
      <w:r w:rsidRPr="00E31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ТК РФ). Есть и другие льготы.</w:t>
      </w: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1F55" w:rsidRPr="00E31F55" w:rsidRDefault="00E31F55" w:rsidP="00E31F55">
      <w:pPr>
        <w:spacing w:before="525" w:after="30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Кто обязан пройти </w:t>
      </w:r>
      <w:proofErr w:type="spellStart"/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спецоценку</w:t>
      </w:r>
      <w:proofErr w:type="spellEnd"/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рабочих мест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Спецоценку</w:t>
      </w:r>
      <w:proofErr w:type="spell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общем случае обязаны проходить все организации и индивидуальные предприниматели, нанявшие хотя бы одного сотрудника. Это следует из статьи </w:t>
      </w:r>
      <w:hyperlink r:id="rId9" w:tgtFrame="_blank" w:history="1">
        <w:r w:rsidRPr="00E31F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4</w:t>
        </w:r>
      </w:hyperlink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 СОУТ.</w:t>
      </w:r>
    </w:p>
    <w:p w:rsidR="00E31F55" w:rsidRPr="00E31F55" w:rsidRDefault="00E31F55" w:rsidP="00E31F55">
      <w:pPr>
        <w:spacing w:before="525" w:after="30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не проводить оценку условий труда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 не является обязательной для следующих категорий:</w:t>
      </w:r>
    </w:p>
    <w:p w:rsidR="00E31F55" w:rsidRPr="00E31F55" w:rsidRDefault="00E31F55" w:rsidP="00E31F55">
      <w:pPr>
        <w:numPr>
          <w:ilvl w:val="0"/>
          <w:numId w:val="3"/>
        </w:numPr>
        <w:spacing w:after="120" w:line="390" w:lineRule="atLeast"/>
        <w:ind w:left="135" w:hanging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и ИП, не заключивших ни одного трудового договора;</w:t>
      </w:r>
    </w:p>
    <w:p w:rsidR="00E31F55" w:rsidRPr="00E31F55" w:rsidRDefault="00E31F55" w:rsidP="00E31F55">
      <w:pPr>
        <w:numPr>
          <w:ilvl w:val="0"/>
          <w:numId w:val="3"/>
        </w:numPr>
        <w:spacing w:after="120" w:line="390" w:lineRule="atLeast"/>
        <w:ind w:left="135" w:hanging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работодателей — физических лиц без статуса ИП;</w:t>
      </w:r>
    </w:p>
    <w:p w:rsidR="00E31F55" w:rsidRPr="00E31F55" w:rsidRDefault="00E31F55" w:rsidP="00E31F55">
      <w:pPr>
        <w:numPr>
          <w:ilvl w:val="0"/>
          <w:numId w:val="3"/>
        </w:numPr>
        <w:spacing w:after="120" w:line="390" w:lineRule="atLeast"/>
        <w:ind w:left="135" w:hanging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работодателей — религиозных организаций.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 исключения работодатели вправе отказаться от СОУТ в отношении рабочих мест надомников и дистанционных работников (ч. 3 ст. </w:t>
      </w:r>
      <w:hyperlink r:id="rId10" w:tgtFrame="_blank" w:history="1">
        <w:r w:rsidRPr="00E31F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3</w:t>
        </w:r>
      </w:hyperlink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 СОУТ).</w:t>
      </w:r>
    </w:p>
    <w:p w:rsidR="00E31F55" w:rsidRPr="00E31F55" w:rsidRDefault="00E31F55" w:rsidP="00E31F55">
      <w:pPr>
        <w:spacing w:before="375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ВНИМАНИЕ.</w:t>
      </w: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Вакантные места не подпадают под </w:t>
      </w:r>
      <w:proofErr w:type="spell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спецоценку</w:t>
      </w:r>
      <w:proofErr w:type="spell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Дело в том, что при отсутствии сотрудников проанализировать условия их труда невозможно.</w:t>
      </w:r>
    </w:p>
    <w:p w:rsidR="00E31F55" w:rsidRPr="00E31F55" w:rsidRDefault="00E31F55" w:rsidP="00E31F55">
      <w:pPr>
        <w:spacing w:before="525" w:after="30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проводит специальную оценку условий труда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 проводится силами специализированной сторонней компании при участии комиссии, созданной работодателем.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комиссию входят: представители работодателя и профсоюзной организации (если она создана на предприятии), специалист по охране труда. Также в нее нужно включить руководителя малого предприятия либо ИП. Главой комиссии назначается сам работодатель или его представитель.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Специализированная сторонняя компания должны соответствовать следующим критериям:</w:t>
      </w:r>
    </w:p>
    <w:p w:rsidR="00E31F55" w:rsidRPr="00E31F55" w:rsidRDefault="00E31F55" w:rsidP="00E31F55">
      <w:pPr>
        <w:numPr>
          <w:ilvl w:val="0"/>
          <w:numId w:val="4"/>
        </w:numPr>
        <w:spacing w:after="120" w:line="390" w:lineRule="atLeast"/>
        <w:ind w:left="13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 является основным видом ее деятельности.</w:t>
      </w:r>
    </w:p>
    <w:p w:rsidR="00E31F55" w:rsidRPr="00E31F55" w:rsidRDefault="00E31F55" w:rsidP="00E31F55">
      <w:pPr>
        <w:numPr>
          <w:ilvl w:val="0"/>
          <w:numId w:val="4"/>
        </w:numPr>
        <w:spacing w:after="120" w:line="390" w:lineRule="atLeast"/>
        <w:ind w:left="13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Получена соответствующая аккредитация.</w:t>
      </w:r>
    </w:p>
    <w:p w:rsidR="00E31F55" w:rsidRPr="00E31F55" w:rsidRDefault="00E31F55" w:rsidP="00E31F55">
      <w:pPr>
        <w:numPr>
          <w:ilvl w:val="0"/>
          <w:numId w:val="4"/>
        </w:numPr>
        <w:spacing w:after="120" w:line="390" w:lineRule="atLeast"/>
        <w:ind w:left="13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В штате числится не менее 5-ти экспертов, имеющих сертификат на выполнение работ по </w:t>
      </w:r>
      <w:proofErr w:type="spell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спецоценке</w:t>
      </w:r>
      <w:proofErr w:type="spell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минимум, один эксперт является врачом по общей гигиене (или по гигиене труда), либо врачом по санитарно-гигиеническим лабораторным исследованиям.</w:t>
      </w:r>
    </w:p>
    <w:p w:rsidR="00E31F55" w:rsidRPr="00E31F55" w:rsidRDefault="00E31F55" w:rsidP="00E31F55">
      <w:pPr>
        <w:numPr>
          <w:ilvl w:val="0"/>
          <w:numId w:val="4"/>
        </w:numPr>
        <w:spacing w:after="120" w:line="390" w:lineRule="atLeast"/>
        <w:ind w:left="13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испытательная лаборатория, аккредитованная на измерение вредных и опасных факторов производственной среды и трудового процесса.</w:t>
      </w:r>
    </w:p>
    <w:p w:rsidR="00E31F55" w:rsidRPr="00E31F55" w:rsidRDefault="00E31F55" w:rsidP="00E31F55">
      <w:pPr>
        <w:spacing w:before="525" w:after="30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СОУТ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 началом процедуры необходимо составить график работ и перечень рабочих мест, подпадающих под специальную оценку. Форма этих документов свободная.</w:t>
      </w:r>
    </w:p>
    <w:p w:rsidR="00E31F55" w:rsidRPr="00E31F55" w:rsidRDefault="00E31F55" w:rsidP="00E31F55">
      <w:pPr>
        <w:spacing w:before="375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 проводится в отношении рабочего места, а не должности. Поэтому если один человек совмещает сразу несколько должностей, то нужно проверить, сколько рабочих мест он фактически занимает. И каждое включить в перечень.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проходят исследования в рамках СОУТ. По их итогам составляется отчет. Его подписывают специалисты аккредитованной сторонней организации и члены комиссии. Одновременно заполняется карта на каждое рабочее место (формы отчета и карты утв. приказом Минтруда </w:t>
      </w:r>
      <w:hyperlink r:id="rId11" w:tgtFrame="_blank" w:history="1">
        <w:r w:rsidRPr="00E31F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от 24.01.14 № 33н</w:t>
        </w:r>
      </w:hyperlink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Сотрудников следует ознакомить с картой под роспись в течение 30 календарных дней </w:t>
      </w:r>
      <w:proofErr w:type="gram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 даты утверждения</w:t>
      </w:r>
      <w:proofErr w:type="gram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отчета. В этот же срок сводные данные </w:t>
      </w:r>
      <w:proofErr w:type="spell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спецоценки</w:t>
      </w:r>
      <w:proofErr w:type="spell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опубликовать на официальном сайте работодателя (при его наличии).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к этому оформляется декларация соответствия условий труда (форма и порядок подачи утв. приказом Минтруда </w:t>
      </w:r>
      <w:hyperlink r:id="rId12" w:anchor="h45" w:tgtFrame="_blank" w:history="1">
        <w:r w:rsidRPr="00E31F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от 17.06.21 № 406н</w:t>
        </w:r>
      </w:hyperlink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 нее входят сведения о рабочих местах, на которых вредные и опасные производственные факторы не выявлены, а условия труда признаны оптимальными и допустимыми. Декларацию нужно представить в территориальную инспекцию по труду не позднее 30 рабочих дней после утверждения отчета по итогам СОУТ. Декларацию можно подать через интернет на сайте </w:t>
      </w:r>
      <w:proofErr w:type="spell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 этого ее необходимо подписать квалифицированной электронной подписью.</w:t>
      </w:r>
    </w:p>
    <w:p w:rsidR="00E31F55" w:rsidRPr="00E31F55" w:rsidRDefault="00E31F55" w:rsidP="00E31F55">
      <w:pPr>
        <w:spacing w:before="525" w:after="30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 периодичность проведения СОУТ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этап проведения </w:t>
      </w:r>
      <w:proofErr w:type="spell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спецоценки</w:t>
      </w:r>
      <w:proofErr w:type="spell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завершился к 1 января 2019 года (ч. 6 ст. </w:t>
      </w:r>
      <w:hyperlink r:id="rId13" w:tgtFrame="_blank" w:history="1">
        <w:r w:rsidRPr="00E31F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27</w:t>
        </w:r>
      </w:hyperlink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 СОУТ). Подразумевается, что к этой дате все работодатели провели указанные выше мероприятия и своевременно сдали декларацию.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следует назначить следующую процедуру СОУТ? Если не случится несчастных случаев на производстве и профзаболеваний, и инспекторы не обнаружат нарушений в сфере охраны труда — </w:t>
      </w:r>
      <w:proofErr w:type="gram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повторную</w:t>
      </w:r>
      <w:proofErr w:type="gram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спецоценку</w:t>
      </w:r>
      <w:proofErr w:type="spell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не нужно. И только при наступлении одного из указанных событий необходимо провести внеплановую СОУТ и вновь подать декларацию 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ВАЖНО.</w:t>
      </w: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 появлении нового рабочего места необходимо организовать </w:t>
      </w:r>
      <w:proofErr w:type="gram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внеплановую</w:t>
      </w:r>
      <w:proofErr w:type="gram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спецоценку</w:t>
      </w:r>
      <w:proofErr w:type="spell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Сделать это нужно в течение 12-ти месяцев со дня, когда оно введено в эксплуатацию.</w:t>
      </w:r>
    </w:p>
    <w:p w:rsidR="00E31F55" w:rsidRPr="00E31F55" w:rsidRDefault="00E31F55" w:rsidP="00E31F55">
      <w:pPr>
        <w:spacing w:before="525" w:after="30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Штрафы за не проведение СОУТ в 2022 году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 2019 года, применяется наказание за отсутствие СОУТ. Ответственность предусмотрена частью 2 статьи </w:t>
      </w:r>
      <w:hyperlink r:id="rId14" w:anchor="h13338" w:tgtFrame="_blank" w:history="1">
        <w:r w:rsidRPr="00E31F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5.27.1</w:t>
        </w:r>
      </w:hyperlink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РФ. Это предупреждение или штрафные санкции в следующих размерах:</w:t>
      </w:r>
    </w:p>
    <w:p w:rsidR="00E31F55" w:rsidRPr="00E31F55" w:rsidRDefault="00E31F55" w:rsidP="00E31F55">
      <w:pPr>
        <w:numPr>
          <w:ilvl w:val="0"/>
          <w:numId w:val="5"/>
        </w:numPr>
        <w:spacing w:after="120" w:line="390" w:lineRule="atLeast"/>
        <w:ind w:left="135" w:hanging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руководителя организации — от 5 000 до 10 000 руб.;</w:t>
      </w:r>
    </w:p>
    <w:p w:rsidR="00E31F55" w:rsidRPr="00E31F55" w:rsidRDefault="00E31F55" w:rsidP="00E31F55">
      <w:pPr>
        <w:numPr>
          <w:ilvl w:val="0"/>
          <w:numId w:val="5"/>
        </w:numPr>
        <w:spacing w:after="120" w:line="390" w:lineRule="atLeast"/>
        <w:ind w:left="135" w:hanging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организацию — от 60 000 до 80 000 руб.;</w:t>
      </w:r>
    </w:p>
    <w:p w:rsidR="00E31F55" w:rsidRPr="00E31F55" w:rsidRDefault="00E31F55" w:rsidP="00E31F55">
      <w:pPr>
        <w:numPr>
          <w:ilvl w:val="0"/>
          <w:numId w:val="5"/>
        </w:numPr>
        <w:spacing w:after="120" w:line="390" w:lineRule="atLeast"/>
        <w:ind w:left="135" w:hanging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ИП — от 5 000 до 10 000 руб.</w:t>
      </w:r>
    </w:p>
    <w:p w:rsidR="00E31F55" w:rsidRPr="00E31F55" w:rsidRDefault="00E31F55" w:rsidP="00E31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EF5AD10" wp14:editId="41FD0D43">
                <wp:extent cx="342900" cy="342900"/>
                <wp:effectExtent l="0" t="0" r="0" b="0"/>
                <wp:docPr id="2" name="Прямоугольник 2" descr="Экспер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Эксперт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31F55" w:rsidRPr="00E31F55" w:rsidRDefault="00E31F55" w:rsidP="00E31F55">
      <w:pPr>
        <w:spacing w:before="525" w:after="30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Стоимость </w:t>
      </w:r>
      <w:proofErr w:type="spellStart"/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спецоценки</w:t>
      </w:r>
      <w:proofErr w:type="spellEnd"/>
      <w:r w:rsidRPr="00E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 кто ее оплачивает</w:t>
      </w:r>
    </w:p>
    <w:p w:rsidR="00E31F55" w:rsidRPr="00E31F55" w:rsidRDefault="00E31F55" w:rsidP="00E31F55">
      <w:pPr>
        <w:spacing w:before="375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не регламентирует стоимость процедуры. </w:t>
      </w:r>
      <w:proofErr w:type="gram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зависит от ряда факторов: условий рынка, размера организации, численности персонала и проч. В среднем СОУТ одного места обходится в сумму от 600 руб. В большинстве аккредитованных компаний установлен нижний порог цены: даже если </w:t>
      </w:r>
      <w:proofErr w:type="spellStart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спецоценку</w:t>
      </w:r>
      <w:proofErr w:type="spellEnd"/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провести в отношении незначительного числа рабочих мест, например, одного или двух, за процедуру придется заплатить минимум 10 000 рублей.</w:t>
      </w:r>
      <w:proofErr w:type="gramEnd"/>
    </w:p>
    <w:p w:rsidR="00E31F55" w:rsidRPr="00E31F55" w:rsidRDefault="00E31F55" w:rsidP="00E31F55">
      <w:pPr>
        <w:spacing w:before="375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общему правилу, финансировать весь комплекс мероприятий по специальной оценке условий труда должен работодатель. Но он может возместить определенную сумму за счет взносов на страхование от несчастных случаев на производстве и профзаболеваний. Часть таких взносов допустимо направить на предупреждение травматизма и профзаболеваний, в том числе на СОУТ.</w:t>
      </w:r>
    </w:p>
    <w:p w:rsidR="00E31F55" w:rsidRPr="00E31F55" w:rsidRDefault="00E31F55" w:rsidP="00E31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F2A400" wp14:editId="2E8A539E">
                <wp:extent cx="342900" cy="342900"/>
                <wp:effectExtent l="0" t="0" r="0" b="0"/>
                <wp:docPr id="1" name="Прямоугольник 1" descr="Персона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Персонал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E3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5069" w:rsidRPr="00E31F55" w:rsidRDefault="00EA5069">
      <w:pPr>
        <w:rPr>
          <w:rFonts w:ascii="Times New Roman" w:hAnsi="Times New Roman" w:cs="Times New Roman"/>
          <w:sz w:val="28"/>
          <w:szCs w:val="28"/>
        </w:rPr>
      </w:pPr>
    </w:p>
    <w:sectPr w:rsidR="00EA5069" w:rsidRPr="00E31F55" w:rsidSect="00E31F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56D9"/>
    <w:multiLevelType w:val="multilevel"/>
    <w:tmpl w:val="11E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1011E"/>
    <w:multiLevelType w:val="multilevel"/>
    <w:tmpl w:val="131C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C61F0"/>
    <w:multiLevelType w:val="multilevel"/>
    <w:tmpl w:val="EDAE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933F0"/>
    <w:multiLevelType w:val="multilevel"/>
    <w:tmpl w:val="8256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83B39"/>
    <w:multiLevelType w:val="multilevel"/>
    <w:tmpl w:val="932A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55"/>
    <w:rsid w:val="00886CCF"/>
    <w:rsid w:val="00E31F55"/>
    <w:rsid w:val="00EA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1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1F55"/>
    <w:rPr>
      <w:color w:val="0000FF"/>
      <w:u w:val="single"/>
    </w:rPr>
  </w:style>
  <w:style w:type="character" w:customStyle="1" w:styleId="figuretitle">
    <w:name w:val="figure__title"/>
    <w:basedOn w:val="a0"/>
    <w:rsid w:val="00E31F55"/>
  </w:style>
  <w:style w:type="character" w:customStyle="1" w:styleId="content-product-title">
    <w:name w:val="content-product-title"/>
    <w:basedOn w:val="a0"/>
    <w:rsid w:val="00E31F55"/>
  </w:style>
  <w:style w:type="character" w:customStyle="1" w:styleId="figuretext">
    <w:name w:val="figure__text"/>
    <w:basedOn w:val="a0"/>
    <w:rsid w:val="00E31F55"/>
  </w:style>
  <w:style w:type="character" w:styleId="a5">
    <w:name w:val="Strong"/>
    <w:basedOn w:val="a0"/>
    <w:uiPriority w:val="22"/>
    <w:qFormat/>
    <w:rsid w:val="00E31F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1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1F55"/>
    <w:rPr>
      <w:color w:val="0000FF"/>
      <w:u w:val="single"/>
    </w:rPr>
  </w:style>
  <w:style w:type="character" w:customStyle="1" w:styleId="figuretitle">
    <w:name w:val="figure__title"/>
    <w:basedOn w:val="a0"/>
    <w:rsid w:val="00E31F55"/>
  </w:style>
  <w:style w:type="character" w:customStyle="1" w:styleId="content-product-title">
    <w:name w:val="content-product-title"/>
    <w:basedOn w:val="a0"/>
    <w:rsid w:val="00E31F55"/>
  </w:style>
  <w:style w:type="character" w:customStyle="1" w:styleId="figuretext">
    <w:name w:val="figure__text"/>
    <w:basedOn w:val="a0"/>
    <w:rsid w:val="00E31F55"/>
  </w:style>
  <w:style w:type="character" w:styleId="a5">
    <w:name w:val="Strong"/>
    <w:basedOn w:val="a0"/>
    <w:uiPriority w:val="22"/>
    <w:qFormat/>
    <w:rsid w:val="00E31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2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93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9594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85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5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8426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9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58798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9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5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15740&amp;promocode=0957&amp;utm_source=click.mail.ru&amp;utm_medium=referral&amp;utm_campaign=content-link-buhonline&amp;utm_content=tag-trudovye-otnosheniya&amp;utm_term=pub15195&amp;utm_referrer=https%3a%2f%2fclick.mail.ru" TargetMode="External"/><Relationship Id="rId13" Type="http://schemas.openxmlformats.org/officeDocument/2006/relationships/hyperlink" Target="http://normativ.kontur.ru/document?moduleId=1&amp;documentId=382318&amp;promocode=0957&amp;utm_source=click.mail.ru&amp;utm_medium=referral&amp;utm_campaign=content-link-buhonline&amp;utm_content=tag-trudovye-otnosheniya&amp;utm_term=pub15195&amp;utm_referrer=https%3a%2f%2fclick.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415740&amp;promocode=0957&amp;utm_source=click.mail.ru&amp;utm_medium=referral&amp;utm_campaign=content-link-buhonline&amp;utm_content=tag-trudovye-otnosheniya&amp;utm_term=pub15195&amp;utm_referrer=https%3a%2f%2fclick.mail.ru" TargetMode="External"/><Relationship Id="rId12" Type="http://schemas.openxmlformats.org/officeDocument/2006/relationships/hyperlink" Target="https://normativ.kontur.ru/document?moduleId=1&amp;documentId=397485&amp;promocode=0957&amp;utm_source=click.mail.ru&amp;utm_medium=referral&amp;utm_campaign=content-link-buhonline&amp;utm_content=tag-trudovye-otnosheniya&amp;utm_term=pub15195&amp;utm_referrer=https%3a%2f%2fclick.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82318&amp;promocode=0957&amp;utm_source=click.mail.ru&amp;utm_medium=referral&amp;utm_campaign=content-link-buhonline&amp;utm_content=tag-trudovye-otnosheniya&amp;utm_term=pub15195&amp;utm_referrer=https%3a%2f%2fclick.mail.ru" TargetMode="External"/><Relationship Id="rId11" Type="http://schemas.openxmlformats.org/officeDocument/2006/relationships/hyperlink" Target="https://normativ.kontur.ru/document?moduleId=1&amp;documentId=369213&amp;promocode=0957&amp;utm_source=click.mail.ru&amp;utm_medium=referral&amp;utm_campaign=content-link-buhonline&amp;utm_content=tag-trudovye-otnosheniya&amp;utm_term=pub15195&amp;utm_referrer=https%3a%2f%2fclick.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ormativ.kontur.ru/document?moduleId=1&amp;documentId=382318&amp;promocode=0957&amp;utm_source=click.mail.ru&amp;utm_medium=referral&amp;utm_campaign=content-link-buhonline&amp;utm_content=tag-trudovye-otnosheniya&amp;utm_term=pub15195&amp;utm_referrer=https%3a%2f%2fclick.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rmativ.kontur.ru/document?moduleId=1&amp;documentId=382318&amp;promocode=0957&amp;utm_source=click.mail.ru&amp;utm_medium=referral&amp;utm_campaign=content-link-buhonline&amp;utm_content=tag-trudovye-otnosheniya&amp;utm_term=pub15195&amp;utm_referrer=https%3a%2f%2fclick.mail.ru" TargetMode="External"/><Relationship Id="rId14" Type="http://schemas.openxmlformats.org/officeDocument/2006/relationships/hyperlink" Target="https://normativ.kontur.ru/document?moduleId=1&amp;documentId=420972&amp;promocode=0957&amp;utm_source=click.mail.ru&amp;utm_medium=referral&amp;utm_campaign=content-link-buhonline&amp;utm_content=tag-trudovye-otnosheniya&amp;utm_term=pub15195&amp;utm_referrer=https%3a%2f%2fclick.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Что такое специальная оценка условий труда</vt:lpstr>
      <vt:lpstr>    Кто обязан пройти спецоценку рабочих мест</vt:lpstr>
      <vt:lpstr>    Кто может не проводить оценку условий труда</vt:lpstr>
      <vt:lpstr>    Кто проводит специальную оценку условий труда</vt:lpstr>
      <vt:lpstr>    Порядок проведения СОУТ</vt:lpstr>
      <vt:lpstr>    Сроки и периодичность проведения СОУТ</vt:lpstr>
      <vt:lpstr>    Штрафы за не проведение СОУТ в 2022 году</vt:lpstr>
      <vt:lpstr>    Стоимость спецоценки и кто ее оплачивает</vt:lpstr>
    </vt:vector>
  </TitlesOfParts>
  <Company>SPecialiST RePack</Company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2022-06-08T00:23:00Z</dcterms:created>
  <dcterms:modified xsi:type="dcterms:W3CDTF">2022-06-08T00:34:00Z</dcterms:modified>
</cp:coreProperties>
</file>