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AA" w:rsidRDefault="00B449AA">
      <w:pPr>
        <w:pStyle w:val="ConsPlusTitlePage"/>
      </w:pPr>
      <w:r>
        <w:br/>
      </w:r>
    </w:p>
    <w:p w:rsidR="00B449AA" w:rsidRDefault="00B449AA">
      <w:pPr>
        <w:pStyle w:val="ConsPlusNormal"/>
        <w:jc w:val="both"/>
        <w:outlineLvl w:val="0"/>
      </w:pPr>
    </w:p>
    <w:p w:rsidR="00B449AA" w:rsidRDefault="00B449AA">
      <w:pPr>
        <w:pStyle w:val="ConsPlusNormal"/>
        <w:outlineLvl w:val="0"/>
      </w:pPr>
      <w:r>
        <w:t>Зарегистрировано в Минюсте России 3 декабря 2018 г. N 52861</w:t>
      </w:r>
    </w:p>
    <w:p w:rsidR="00B449AA" w:rsidRDefault="00B449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Title"/>
        <w:jc w:val="center"/>
      </w:pPr>
      <w:r>
        <w:t>МИНИСТЕРСТВО ТРАНСПОРТА РОССИЙСКОЙ ФЕДЕРАЦИИ</w:t>
      </w:r>
    </w:p>
    <w:p w:rsidR="00B449AA" w:rsidRDefault="00B449AA">
      <w:pPr>
        <w:pStyle w:val="ConsPlusTitle"/>
        <w:jc w:val="both"/>
      </w:pPr>
    </w:p>
    <w:p w:rsidR="00B449AA" w:rsidRDefault="00B449AA">
      <w:pPr>
        <w:pStyle w:val="ConsPlusTitle"/>
        <w:jc w:val="center"/>
      </w:pPr>
      <w:r>
        <w:t>ПРИКАЗ</w:t>
      </w:r>
    </w:p>
    <w:p w:rsidR="00B449AA" w:rsidRDefault="00B449AA">
      <w:pPr>
        <w:pStyle w:val="ConsPlusTitle"/>
        <w:jc w:val="center"/>
      </w:pPr>
      <w:r>
        <w:t>от 8 авгус</w:t>
      </w:r>
      <w:bookmarkStart w:id="0" w:name="_GoBack"/>
      <w:bookmarkEnd w:id="0"/>
      <w:r>
        <w:t>та 2018 г. N 296</w:t>
      </w:r>
    </w:p>
    <w:p w:rsidR="00B449AA" w:rsidRDefault="00B449AA">
      <w:pPr>
        <w:pStyle w:val="ConsPlusTitle"/>
        <w:jc w:val="both"/>
      </w:pPr>
    </w:p>
    <w:p w:rsidR="00B449AA" w:rsidRDefault="00B449AA">
      <w:pPr>
        <w:pStyle w:val="ConsPlusTitle"/>
        <w:jc w:val="center"/>
      </w:pPr>
      <w:r>
        <w:t>ОБ УТВЕРЖДЕНИИ ПОРЯДКА</w:t>
      </w:r>
    </w:p>
    <w:p w:rsidR="00B449AA" w:rsidRDefault="00B449AA">
      <w:pPr>
        <w:pStyle w:val="ConsPlusTitle"/>
        <w:jc w:val="center"/>
      </w:pPr>
      <w:r>
        <w:t>ОРГАНИЗАЦИИ И ПРОВЕДЕНИЯ ПРЕДРЕЙСОВОГО ИЛИ ПРЕДСМЕННОГО</w:t>
      </w:r>
    </w:p>
    <w:p w:rsidR="00B449AA" w:rsidRDefault="00B449AA">
      <w:pPr>
        <w:pStyle w:val="ConsPlusTitle"/>
        <w:jc w:val="center"/>
      </w:pPr>
      <w:r>
        <w:t>КОНТРОЛЯ ТЕХНИЧЕСКОГО СОСТОЯНИЯ ТРАНСПОРТНЫХ СРЕДСТВ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пунктом 2 статьи 20</w:t>
        </w:r>
      </w:hyperlink>
      <w:r>
        <w:t xml:space="preserve"> Федерального закона от 10 декабря 1995 г. N 196-ФЗ "О безопасности дорожного движения" (Собрание законодательства Российской Федерации, 1995, N 50, ст. 4873; 1999, N 10, ст. 1158; 2002, N 18, ст. 1721; 2003, N 2, ст. 167; 2004, N 35, ст. 3607; 2006, N 52, ст. 5498;</w:t>
      </w:r>
      <w:proofErr w:type="gramEnd"/>
      <w:r>
        <w:t xml:space="preserve"> </w:t>
      </w:r>
      <w:proofErr w:type="gramStart"/>
      <w:r>
        <w:t>2007, N 46, ст. 5553, N 49, ст. 6070; 2009, N 1, ст. 21, N 48, ст. 5717; 2010, N 30, ст. 4000, N 31, ст. 4196; 2011, N 17, ст. 2310, N 27, ст. 3881, N 29, ст. 4283, N 30, ст. 4590, 4596; 2012, N 25, ст. 3268, N 31, ст. 4320;</w:t>
      </w:r>
      <w:proofErr w:type="gramEnd"/>
      <w:r>
        <w:t xml:space="preserve"> </w:t>
      </w:r>
      <w:proofErr w:type="gramStart"/>
      <w:r>
        <w:t>2013, N 17, ст. 2032, N 19, ст. 2319, N 27, ст. 3477, N 30, ст. 4029, N 48, ст. 6165, N 52, ст. 7002; 2014, N 42, ст. 5615; 2015, N 24, ст. 3370, N 29, ст. 4359, N 48, ст. 6706, 6723; 2016, N 15, ст. 2066, N 18, ст. 2502, N 27, ст. 4192, 4229;</w:t>
      </w:r>
      <w:proofErr w:type="gramEnd"/>
      <w:r>
        <w:t xml:space="preserve"> </w:t>
      </w:r>
      <w:proofErr w:type="gramStart"/>
      <w:r>
        <w:t>2017, N 31, ст. 4753) приказываю:</w:t>
      </w:r>
      <w:proofErr w:type="gramEnd"/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организации и проведения </w:t>
      </w:r>
      <w:proofErr w:type="spellStart"/>
      <w:r>
        <w:t>предрейсового</w:t>
      </w:r>
      <w:proofErr w:type="spellEnd"/>
      <w:r>
        <w:t xml:space="preserve"> или </w:t>
      </w:r>
      <w:proofErr w:type="spellStart"/>
      <w:r>
        <w:t>предсменного</w:t>
      </w:r>
      <w:proofErr w:type="spellEnd"/>
      <w:r>
        <w:t xml:space="preserve"> контроля технического состояния транспортных средств (далее - Порядок).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Минтранса России от 6 апреля 2017 г. N 141 "Об утверждении Порядка организации и проведения </w:t>
      </w:r>
      <w:proofErr w:type="spellStart"/>
      <w:r>
        <w:t>предрейсового</w:t>
      </w:r>
      <w:proofErr w:type="spellEnd"/>
      <w:r>
        <w:t xml:space="preserve"> контроля технического состояния транспортных средств" (зарегистрирован Минюстом России 23 июня 2017 г., регистрационный N 47160).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настоящий приказ вступает в силу с 21 декабря 2018 г. со дня вступления в силу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20 декабря 2017 г. N 398-ФЗ "О внесении изменений в Федеральный закон "О безопасности дорожного движения" в части установления дополнительных требований по обеспечению безопасности дорожного движения при перевозке пассажиров и грузов автомобильным транспортом и городским наземным электрическим транспортом"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2017, N 52, ст. 7921), за исключением </w:t>
      </w:r>
      <w:hyperlink w:anchor="P60" w:history="1">
        <w:r>
          <w:rPr>
            <w:color w:val="0000FF"/>
          </w:rPr>
          <w:t>абзаца восьмого подпункта 1 пункта 10</w:t>
        </w:r>
      </w:hyperlink>
      <w:r>
        <w:t xml:space="preserve"> Порядка, утверждаемого настоящим приказом.</w:t>
      </w:r>
      <w:proofErr w:type="gramEnd"/>
    </w:p>
    <w:p w:rsidR="00B449AA" w:rsidRDefault="00B449AA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4. Установить, что </w:t>
      </w:r>
      <w:hyperlink w:anchor="P60" w:history="1">
        <w:r>
          <w:rPr>
            <w:color w:val="0000FF"/>
          </w:rPr>
          <w:t>абзац восьмой подпункта 1 пункта 10</w:t>
        </w:r>
      </w:hyperlink>
      <w:r>
        <w:t xml:space="preserve"> Порядка, утверждаемого настоящим приказом, вступает в силу с 1 января 2019 г.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jc w:val="right"/>
      </w:pPr>
      <w:r>
        <w:t>Министр</w:t>
      </w:r>
    </w:p>
    <w:p w:rsidR="00B449AA" w:rsidRDefault="00B449AA">
      <w:pPr>
        <w:pStyle w:val="ConsPlusNormal"/>
        <w:jc w:val="right"/>
      </w:pPr>
      <w:r>
        <w:t>Е.И.ДИТРИХ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jc w:val="right"/>
        <w:outlineLvl w:val="0"/>
      </w:pPr>
    </w:p>
    <w:p w:rsidR="00B449AA" w:rsidRDefault="00B449AA">
      <w:pPr>
        <w:pStyle w:val="ConsPlusNormal"/>
        <w:jc w:val="right"/>
        <w:outlineLvl w:val="0"/>
      </w:pPr>
    </w:p>
    <w:p w:rsidR="00B449AA" w:rsidRDefault="00B449AA">
      <w:pPr>
        <w:pStyle w:val="ConsPlusNormal"/>
        <w:jc w:val="right"/>
        <w:outlineLvl w:val="0"/>
      </w:pPr>
    </w:p>
    <w:p w:rsidR="00B449AA" w:rsidRDefault="00B449AA">
      <w:pPr>
        <w:pStyle w:val="ConsPlusNormal"/>
        <w:jc w:val="right"/>
        <w:outlineLvl w:val="0"/>
      </w:pPr>
    </w:p>
    <w:p w:rsidR="00B449AA" w:rsidRDefault="00B449AA">
      <w:pPr>
        <w:pStyle w:val="ConsPlusNormal"/>
        <w:jc w:val="right"/>
        <w:outlineLvl w:val="0"/>
      </w:pPr>
    </w:p>
    <w:p w:rsidR="00B449AA" w:rsidRDefault="00B449AA">
      <w:pPr>
        <w:pStyle w:val="ConsPlusNormal"/>
        <w:jc w:val="right"/>
        <w:outlineLvl w:val="0"/>
      </w:pPr>
      <w:r>
        <w:lastRenderedPageBreak/>
        <w:t>Утвержден</w:t>
      </w:r>
    </w:p>
    <w:p w:rsidR="00B449AA" w:rsidRDefault="00B449AA">
      <w:pPr>
        <w:pStyle w:val="ConsPlusNormal"/>
        <w:jc w:val="right"/>
      </w:pPr>
      <w:r>
        <w:t>приказом Минтранса России</w:t>
      </w:r>
    </w:p>
    <w:p w:rsidR="00B449AA" w:rsidRDefault="00B449AA">
      <w:pPr>
        <w:pStyle w:val="ConsPlusNormal"/>
        <w:jc w:val="right"/>
      </w:pPr>
      <w:r>
        <w:t>от 8 августа 2018 г. N 296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Title"/>
        <w:jc w:val="center"/>
      </w:pPr>
      <w:bookmarkStart w:id="2" w:name="P30"/>
      <w:bookmarkEnd w:id="2"/>
      <w:r>
        <w:t>ПОРЯДОК</w:t>
      </w:r>
    </w:p>
    <w:p w:rsidR="00B449AA" w:rsidRDefault="00B449AA">
      <w:pPr>
        <w:pStyle w:val="ConsPlusTitle"/>
        <w:jc w:val="center"/>
      </w:pPr>
      <w:r>
        <w:t>ОРГАНИЗАЦИИ И ПРОВЕДЕНИЯ ПРЕДРЕЙСОВОГО ИЛИ ПРЕДСМЕННОГО</w:t>
      </w:r>
    </w:p>
    <w:p w:rsidR="00B449AA" w:rsidRDefault="00B449AA">
      <w:pPr>
        <w:pStyle w:val="ConsPlusTitle"/>
        <w:jc w:val="center"/>
      </w:pPr>
      <w:r>
        <w:t>КОНТРОЛЯ ТЕХНИЧЕСКОГО СОСТОЯНИЯ ТРАНСПОРТНЫХ СРЕДСТВ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r>
        <w:t xml:space="preserve">1. Порядок организации и проведения </w:t>
      </w:r>
      <w:proofErr w:type="spellStart"/>
      <w:r>
        <w:t>предрейсового</w:t>
      </w:r>
      <w:proofErr w:type="spellEnd"/>
      <w:r>
        <w:t xml:space="preserve"> или </w:t>
      </w:r>
      <w:proofErr w:type="spellStart"/>
      <w:r>
        <w:t>предсменного</w:t>
      </w:r>
      <w:proofErr w:type="spellEnd"/>
      <w:r>
        <w:t xml:space="preserve"> контроля технического состояния транспортных средств (далее - Порядок) устанавливает требования к организации и проведению </w:t>
      </w:r>
      <w:proofErr w:type="spellStart"/>
      <w:r>
        <w:t>предрейсового</w:t>
      </w:r>
      <w:proofErr w:type="spellEnd"/>
      <w:r>
        <w:t xml:space="preserve"> или </w:t>
      </w:r>
      <w:proofErr w:type="spellStart"/>
      <w:r>
        <w:t>предсменного</w:t>
      </w:r>
      <w:proofErr w:type="spellEnd"/>
      <w:r>
        <w:t xml:space="preserve"> контроля технического состояния транспортных сре</w:t>
      </w:r>
      <w:proofErr w:type="gramStart"/>
      <w:r>
        <w:t>дств с ц</w:t>
      </w:r>
      <w:proofErr w:type="gramEnd"/>
      <w:r>
        <w:t>елью исключения выпуска на линию технически неисправных транспортных средств.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Настоящий Порядок обязателен для юридических лиц и индивидуальных предпринимателей, осуществляющих перевозки пассажиров на основании договора перевозки или договора фрахтования и (или) грузов на основании договора перевозки (коммерческие перевозки), а также осуществляющих перемещение лиц, кроме водителя, находящихся в транспортном средстве (на нем), и (или) материальных объектов без заключения указанных договоров (перевозки для собственных нужд) (далее - субъекты транспортной деятельности).</w:t>
      </w:r>
      <w:proofErr w:type="gramEnd"/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Предрейсовый</w:t>
      </w:r>
      <w:proofErr w:type="spellEnd"/>
      <w:r>
        <w:t xml:space="preserve"> контроль технического состояния транспортных сре</w:t>
      </w:r>
      <w:proofErr w:type="gramStart"/>
      <w:r>
        <w:t>дств пр</w:t>
      </w:r>
      <w:proofErr w:type="gramEnd"/>
      <w:r>
        <w:t>оводится до начала рейса, если в течение одной смены (рабочего дня) выполняется только один рейс или длительность рейса превышает продолжительность смены (рабочего дня) водителя транспортного средства.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4. </w:t>
      </w:r>
      <w:proofErr w:type="spellStart"/>
      <w:r>
        <w:t>Предсменный</w:t>
      </w:r>
      <w:proofErr w:type="spellEnd"/>
      <w:r>
        <w:t xml:space="preserve"> контроль технического состояния транспортных сре</w:t>
      </w:r>
      <w:proofErr w:type="gramStart"/>
      <w:r>
        <w:t>дств пр</w:t>
      </w:r>
      <w:proofErr w:type="gramEnd"/>
      <w:r>
        <w:t>оводится до начала смены, если в течение смены (рабочего дня) водитель транспортного средства совершает более одного рейса.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5. </w:t>
      </w:r>
      <w:proofErr w:type="spellStart"/>
      <w:proofErr w:type="gramStart"/>
      <w:r>
        <w:t>Предрейсовый</w:t>
      </w:r>
      <w:proofErr w:type="spellEnd"/>
      <w:r>
        <w:t xml:space="preserve"> или </w:t>
      </w:r>
      <w:proofErr w:type="spellStart"/>
      <w:r>
        <w:t>предсменный</w:t>
      </w:r>
      <w:proofErr w:type="spellEnd"/>
      <w:r>
        <w:t xml:space="preserve"> контроль технического состояния транспортных средств (далее - контроль) проводится до выезда транспортного средства с парковки (парковочного места), предназначенной для стоянки транспортного средства по возвращении из рейса и окончании смены водителя транспортного средства (далее - парковка).</w:t>
      </w:r>
      <w:proofErr w:type="gramEnd"/>
    </w:p>
    <w:p w:rsidR="00B449AA" w:rsidRDefault="00B449AA">
      <w:pPr>
        <w:pStyle w:val="ConsPlusNormal"/>
        <w:spacing w:before="220"/>
        <w:ind w:firstLine="540"/>
        <w:jc w:val="both"/>
      </w:pPr>
      <w:r>
        <w:t>6. При сменной работе водителей на одном транспортном средстве контроль проводится до начала рейса или смены (рабочего дня) водителя транспортного средства, который первым выезжает с парковки.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7. Контроль осуществляется контролером технического состояния автотранспортных средств или контролером технического состояния транспортных средств городского наземного электрического транспорта (далее - контролер).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8. Контролер должен соответствовать Профессиональным и квалификационным </w:t>
      </w:r>
      <w:hyperlink r:id="rId8" w:history="1">
        <w:r>
          <w:rPr>
            <w:color w:val="0000FF"/>
          </w:rPr>
          <w:t>требованиям</w:t>
        </w:r>
      </w:hyperlink>
      <w:r>
        <w:t xml:space="preserve">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утвержденным приказом Министерства транспорта Российской Федерации от 28 сентября 2015 г. N 287 &lt;1&gt;.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&lt;1&gt; </w:t>
      </w:r>
      <w:proofErr w:type="gramStart"/>
      <w:r>
        <w:t>Зарегистрирован</w:t>
      </w:r>
      <w:proofErr w:type="gramEnd"/>
      <w:r>
        <w:t xml:space="preserve"> Минюстом России 9 декабря 2015 г., регистрационный N 40032, с изменениями, внесенными приказом Минтранса России от 2 марта 2017 г. N 76 (зарегистрирован Минюстом России 10 апреля 2017 г., регистрационный N 46324).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r>
        <w:lastRenderedPageBreak/>
        <w:t xml:space="preserve">9. </w:t>
      </w:r>
      <w:proofErr w:type="gramStart"/>
      <w:r>
        <w:t xml:space="preserve">При проведении контроля проверяется работоспособность и состояние основных узлов и систем транспортного средства, влияющих на безопасность дорожного движения, на соответствие положениям технического </w:t>
      </w:r>
      <w:hyperlink r:id="rId9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колесных транспортных средств", принятого решением Комиссии Таможенного союза от 9 декабря 2011 г. N 877 &lt;2&gt; (далее - Технический регламент),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Совета Министров - Правительства Российской Федерации от 23 октября 1993 г. N 1090 "О</w:t>
      </w:r>
      <w:proofErr w:type="gramEnd"/>
      <w:r>
        <w:t xml:space="preserve"> </w:t>
      </w:r>
      <w:proofErr w:type="gramStart"/>
      <w:r>
        <w:t>правилах</w:t>
      </w:r>
      <w:proofErr w:type="gramEnd"/>
      <w:r>
        <w:t xml:space="preserve"> дорожного движения" &lt;3&gt;.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49AA" w:rsidRDefault="00B449AA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11" w:history="1">
        <w:r>
          <w:rPr>
            <w:color w:val="0000FF"/>
          </w:rPr>
          <w:t>Решение</w:t>
        </w:r>
      </w:hyperlink>
      <w:r>
        <w:t xml:space="preserve"> Комиссии Таможенного союза от 9 декабря 2011 г. N 877 "О принятии технического регламента Таможенного союза "О безопасности колесных транспортных средств" (опубликовано 15 декабря 2011 г. на официальном сайте Евразийской экономической комиссии www.eurasiancommission.org в информационно-телекоммуникационной сети "Интернет") (с изменениями, внесенными решениями Совета Евразийской экономической комиссии от 30 января 2013 г. N 6, Коллегии Евразийской экономической комиссии</w:t>
      </w:r>
      <w:proofErr w:type="gramEnd"/>
      <w:r>
        <w:t xml:space="preserve"> </w:t>
      </w:r>
      <w:proofErr w:type="gramStart"/>
      <w:r>
        <w:t>от 2 декабря 2014 г. N 223, Совета Евразийской экономической комиссии от 28 мая 2015 г. N 27, от 14 октября 2015 г. N 78, Коллегии Евразийской экономической комиссии от 7 июня 2016 г. N 65, Совета Евразийской экономической комиссии от 11 июля 2016 г. N 56, Коллегии Евразийской экономической комиссии от 13 декабря 2016 г. N 164).</w:t>
      </w:r>
      <w:proofErr w:type="gramEnd"/>
    </w:p>
    <w:p w:rsidR="00B449AA" w:rsidRDefault="00B449AA">
      <w:pPr>
        <w:pStyle w:val="ConsPlusNormal"/>
        <w:spacing w:before="220"/>
        <w:ind w:firstLine="540"/>
        <w:jc w:val="both"/>
      </w:pPr>
      <w:proofErr w:type="gramStart"/>
      <w:r>
        <w:t>&lt;3&gt; Собрание законодательства Российской Федерации, 1993, N 47, ст. 4531; 1996, N 3, ст. 184; 1998, N 45, ст. 5521; 2000, N 18, ст. 1985; 2001, N 11, ст. 1029; 2002, N 9, ст. 931; N 27, ст. 2693; 2003, N 20, ст. 1899; N 40, ст. 3891; 2005, N 52, ст. 5733;</w:t>
      </w:r>
      <w:proofErr w:type="gramEnd"/>
      <w:r>
        <w:t xml:space="preserve"> 2006, N 11, ст. 1179; 2008, N 8, ст. 741; N 17, ст. 1882; 2009, N 2, ст. 233; N 5, ст. 610; 2010, N 9, ст. 976; N 20, ст. 2471; 2011, N 42, ст. 5922; 2012, N 1, ст. 154; N 15, ст. 1780; N 30, ст. 4289; </w:t>
      </w:r>
      <w:proofErr w:type="gramStart"/>
      <w:r>
        <w:t>N 47, ст. 6505; 2013, N 5, ст. 371, 404; N 24, ст. 2999; N 29, ст. 3966; N 31, ст. 4218; N 41, ст. 5194; N 52, ст. 7173; 2014, N 14, ст. 1625; N 21, ст. 2707; N 32, ст. 4487; N 38, ст. 5062; N 44, ст. 6063;</w:t>
      </w:r>
      <w:proofErr w:type="gramEnd"/>
      <w:r>
        <w:t xml:space="preserve"> </w:t>
      </w:r>
      <w:proofErr w:type="gramStart"/>
      <w:r>
        <w:t>N 47, ст. 6557; 2015, N 1, ст. 223; N 15, ст. 2276; N 17, ст. 2568; N 27, ст. 4083; N 46, ст. 6376; 2016, N 5, ст. 694; N 23, ст. 3325; N 31, ст. 5018; N 31, ст. 5029; N 38, ст. 5553; 2017, N 14, ст. 2070;</w:t>
      </w:r>
      <w:proofErr w:type="gramEnd"/>
      <w:r>
        <w:t xml:space="preserve"> N 28, ст. 4139; N 30, ст. 4666; N 45, ст. 6658, 6663; 2018, N 1, ст. 359; N 8, ст. 1225; N 23, ст. 3299; N 36, ст. 5622.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bookmarkStart w:id="3" w:name="P50"/>
      <w:bookmarkEnd w:id="3"/>
      <w:r>
        <w:t>10. При проведении контроля должны быть проверены: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1) исправность: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тормозной системы (включая манометр пневматического или пневмогидравлического тормозных приводов, если их установка предусмотрена конструкцией транспортного средства);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рулевого управления;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стеклоомывателей;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колес (кроме трамвая);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шин (кроме трамвая);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звукового сигнала;</w:t>
      </w:r>
    </w:p>
    <w:p w:rsidR="00B449AA" w:rsidRDefault="00B449A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449A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49AA" w:rsidRDefault="00B449A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449AA" w:rsidRDefault="00B449A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8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 п. 10 </w:t>
            </w:r>
            <w:hyperlink w:anchor="P17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01.01.2019.</w:t>
            </w:r>
          </w:p>
        </w:tc>
      </w:tr>
    </w:tbl>
    <w:p w:rsidR="00B449AA" w:rsidRDefault="00B449AA">
      <w:pPr>
        <w:pStyle w:val="ConsPlusNormal"/>
        <w:spacing w:before="280"/>
        <w:ind w:firstLine="540"/>
        <w:jc w:val="both"/>
      </w:pPr>
      <w:bookmarkStart w:id="4" w:name="P60"/>
      <w:bookmarkEnd w:id="4"/>
      <w:proofErr w:type="spellStart"/>
      <w:r>
        <w:t>тахографа</w:t>
      </w:r>
      <w:proofErr w:type="spellEnd"/>
      <w:r>
        <w:t xml:space="preserve"> (если обязательность его установки предусмотрена законодательством Российской Федерации) &lt;4&gt;;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lastRenderedPageBreak/>
        <w:t xml:space="preserve">&lt;4&gt; </w:t>
      </w:r>
      <w:hyperlink r:id="rId12" w:history="1">
        <w:r>
          <w:rPr>
            <w:color w:val="0000FF"/>
          </w:rPr>
          <w:t>Статья 20</w:t>
        </w:r>
      </w:hyperlink>
      <w:r>
        <w:t xml:space="preserve"> Федерального закона от 10 декабря 1995 г. N 196-ФЗ "О безопасности дорожного движения".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r>
        <w:t>аппаратуры спутниковой навигации (если обязательность ее установки предусмотрена законодательством Российской Федерации) &lt;5&gt;;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3" w:history="1">
        <w:r>
          <w:rPr>
            <w:color w:val="0000FF"/>
          </w:rPr>
          <w:t>Пункты 1</w:t>
        </w:r>
      </w:hyperlink>
      <w:r>
        <w:t xml:space="preserve"> и </w:t>
      </w:r>
      <w:hyperlink r:id="rId14" w:history="1">
        <w:r>
          <w:rPr>
            <w:color w:val="0000FF"/>
          </w:rPr>
          <w:t>2</w:t>
        </w:r>
      </w:hyperlink>
      <w:r>
        <w:t xml:space="preserve"> постановления Правительства Российской Федерации от 25 августа 2008 г. N 641 "Об оснащении транспортных, технических средств и систем аппаратурой спутниковой навигации ГЛОНАСС или ГЛОНАСС/GPS" (Собрание законодательства Российской Федерации, 2008, N 35, ст. 4037; 2010, N 52, ст. 7104; 2016, N 47, ст. 6640).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r>
        <w:t>устройства (системы) вызова экстренных оперативных служб (если обязательность его (ее) установки предусмотрена законодательством Российской Федерации) &lt;6&gt;;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5" w:history="1">
        <w:r>
          <w:rPr>
            <w:color w:val="0000FF"/>
          </w:rPr>
          <w:t>Пункт 13.1</w:t>
        </w:r>
      </w:hyperlink>
      <w:r>
        <w:t xml:space="preserve"> Технического регламента.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r>
        <w:t xml:space="preserve">2) исправность </w:t>
      </w:r>
      <w:proofErr w:type="gramStart"/>
      <w:r>
        <w:t>предусмотренных</w:t>
      </w:r>
      <w:proofErr w:type="gramEnd"/>
      <w:r>
        <w:t xml:space="preserve"> конструкцией транспортного средства: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замков дверей кузова или кабины, запоров бортов грузовой платформы, запоров горловин цистерн и пробок топливных баков (кроме транспортных средств городского наземного электрического транспорта);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устройств фиксации подушки и спинки водительского сиденья;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устройств обогрева и обдува стекол;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тягово-сцепного устройства, а также страховочных тросов (цепей);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держателя запасного колеса (кроме трамвая);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фиксаторов транспортного положения опор полуприцепов (при наличии);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3) наличие </w:t>
      </w:r>
      <w:proofErr w:type="gramStart"/>
      <w:r>
        <w:t>предусмотренных</w:t>
      </w:r>
      <w:proofErr w:type="gramEnd"/>
      <w:r>
        <w:t xml:space="preserve"> конструкцией транспортного средства: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индикации на щитке приборов, свидетельствующей о неисправности, влияющей на безопасность дорожного движения (проверяется при работающем двигателе);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стекол и обзорности с места водителя;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зеркал заднего вида и их креплений;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заднего защитного устройства, грязезащитных фартуков и брызговиков;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ремней безопасности (если обязательность их установки предусмотрена законодательством Российской Федерации) &lt;7&gt; и (или) подголовников сидений и их работоспособность;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6" w:history="1">
        <w:r>
          <w:rPr>
            <w:color w:val="0000FF"/>
          </w:rPr>
          <w:t>Приложение N 2</w:t>
        </w:r>
      </w:hyperlink>
      <w:r>
        <w:t xml:space="preserve"> к Техническому регламенту.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r>
        <w:t>4) работоспособность в установленном режиме: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стеклоочистителей;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lastRenderedPageBreak/>
        <w:t xml:space="preserve">внешних световых приборов и </w:t>
      </w:r>
      <w:proofErr w:type="spellStart"/>
      <w:r>
        <w:t>световозвращателей</w:t>
      </w:r>
      <w:proofErr w:type="spellEnd"/>
      <w:r>
        <w:t>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5) герметичность систем, узлов и агрегатов транспортного средства, в том числе системы выпуска отработавших газов, а также дополнительно устанавливаемых на транспортное средство гидравлических устройств;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6) укомплектованность медицинской аптечкой, огнетушителем и противооткатными упорами (для грузовых транспортных средств и автобусов);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7) отсутствие внесенных в конструкцию транспортного средства изменений в нарушение установленного порядка, предусмотренного </w:t>
      </w:r>
      <w:hyperlink r:id="rId17" w:history="1">
        <w:r>
          <w:rPr>
            <w:color w:val="0000FF"/>
          </w:rPr>
          <w:t>разделом 4 главы V</w:t>
        </w:r>
      </w:hyperlink>
      <w:r>
        <w:t xml:space="preserve"> Технического регламента, в части газобаллонного оборудования, кузовов транспортных средств, бортов грузовой платформы (для грузовых транспортных средств), дополнительных сидений, фар ближнего света, противотуманных фар (при наличии) и дневных ходовых огней (при наличии);</w:t>
      </w:r>
    </w:p>
    <w:p w:rsidR="00B449AA" w:rsidRDefault="00B449AA">
      <w:pPr>
        <w:pStyle w:val="ConsPlusNormal"/>
        <w:spacing w:before="220"/>
        <w:ind w:firstLine="540"/>
        <w:jc w:val="both"/>
      </w:pPr>
      <w:proofErr w:type="gramStart"/>
      <w:r>
        <w:t xml:space="preserve">8) отсутствие установленных на передней части транспортного средства световых приборов с огнями красного цвета или </w:t>
      </w:r>
      <w:proofErr w:type="spellStart"/>
      <w:r>
        <w:t>световозвращающих</w:t>
      </w:r>
      <w:proofErr w:type="spellEnd"/>
      <w:r>
        <w:t xml:space="preserve"> приспособлений красного цвета, на транспортном средстве устройств для подачи специальных световых или звуковых сигналов (за исключением охранной сигнализации) без соответствующего разрешения, а также незаконно нанесенных на наружные поверхности транспортного средства специальных </w:t>
      </w:r>
      <w:proofErr w:type="spellStart"/>
      <w:r>
        <w:t>цветографических</w:t>
      </w:r>
      <w:proofErr w:type="spellEnd"/>
      <w:r>
        <w:t xml:space="preserve"> схем автомобилей оперативных служб;</w:t>
      </w:r>
      <w:proofErr w:type="gramEnd"/>
    </w:p>
    <w:p w:rsidR="00B449AA" w:rsidRDefault="00B449AA">
      <w:pPr>
        <w:pStyle w:val="ConsPlusNormal"/>
        <w:spacing w:before="220"/>
        <w:ind w:firstLine="540"/>
        <w:jc w:val="both"/>
      </w:pPr>
      <w:r>
        <w:t>9) дополнительно для транспортных средств городского наземного электрического транспорта: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состояние и крепление колесных пар и трамвайных тележек (для трамвая);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соответствие силы тока утечки предельно допустимым значениям;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исправность токоприемников, тяговых двигателей, вспомогательных электрических машин, пускорегулирующей и защитной аппаратуры, вспомогательных цепей, аккумуляторной батареи, контрольно-измерительных приборов электрического оборудования.</w:t>
      </w:r>
    </w:p>
    <w:p w:rsidR="00B449AA" w:rsidRDefault="00B449AA">
      <w:pPr>
        <w:pStyle w:val="ConsPlusNormal"/>
        <w:spacing w:before="220"/>
        <w:ind w:firstLine="540"/>
        <w:jc w:val="both"/>
      </w:pPr>
      <w:bookmarkStart w:id="5" w:name="P99"/>
      <w:bookmarkEnd w:id="5"/>
      <w:r>
        <w:t xml:space="preserve">11. При наличии конструктивных особенностей специальных и специализированных транспортных средств контролер должен проверить состояние и исправность других систем, механизмов, агрегатов, узлов и деталей, характерных для данных типов транспортных средств, влияющих на безопасность движения транспортных средств, на соответствие требованиям </w:t>
      </w:r>
      <w:hyperlink r:id="rId18" w:history="1">
        <w:r>
          <w:rPr>
            <w:color w:val="0000FF"/>
          </w:rPr>
          <w:t>приложений N 6</w:t>
        </w:r>
      </w:hyperlink>
      <w:r>
        <w:t xml:space="preserve"> и </w:t>
      </w:r>
      <w:hyperlink r:id="rId19" w:history="1">
        <w:r>
          <w:rPr>
            <w:color w:val="0000FF"/>
          </w:rPr>
          <w:t>8</w:t>
        </w:r>
      </w:hyperlink>
      <w:r>
        <w:t xml:space="preserve"> к Техническому регламенту.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12. В случае</w:t>
      </w:r>
      <w:proofErr w:type="gramStart"/>
      <w:r>
        <w:t>,</w:t>
      </w:r>
      <w:proofErr w:type="gramEnd"/>
      <w:r>
        <w:t xml:space="preserve"> если при контроле не выявлены несоответствия требованиям, перечисленным в </w:t>
      </w:r>
      <w:hyperlink w:anchor="P50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99" w:history="1">
        <w:r>
          <w:rPr>
            <w:color w:val="0000FF"/>
          </w:rPr>
          <w:t>11</w:t>
        </w:r>
      </w:hyperlink>
      <w:r>
        <w:t xml:space="preserve"> настоящего Порядка, в путевом листе ставится отметка "контроль технического состояния транспортного средства пройден" и подпись с указанием фамилии и инициалов контролера, проводившего контроль, даты и времени его проведения.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13. В целях оценки работоспособности, исправности и состояния узлов, агрегатов, механизмов и систем транспортного средства, проверка которых была осуществлена без использования средств технического диагностирования, субъект транспортной деятельности вправе организовать диагностику технического состояния данных узлов, агрегатов, механизмов и систем с использованием необходимого оборудования, средств измерений и инструментов. Средства измерений, используемые для контроля, должны быть </w:t>
      </w:r>
      <w:proofErr w:type="spellStart"/>
      <w:r>
        <w:t>метрологически</w:t>
      </w:r>
      <w:proofErr w:type="spellEnd"/>
      <w:r>
        <w:t xml:space="preserve"> </w:t>
      </w:r>
      <w:proofErr w:type="spellStart"/>
      <w:r>
        <w:t>поверены</w:t>
      </w:r>
      <w:proofErr w:type="spellEnd"/>
      <w:r>
        <w:t xml:space="preserve"> в соответствии с положениями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26 июня 2008 г. N 102-ФЗ "Об обеспечении единства измерений" &lt;8&gt;.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&lt;8&gt; Собрание законодательства Российской Федерации, 2008, N 26, ст. 3021; 2011, N 30, ст. </w:t>
      </w:r>
      <w:r>
        <w:lastRenderedPageBreak/>
        <w:t>4590; N 49, ст. 7025; 2012, N 31, ст. 4322; 2013, N 49, ст. 6339; 2014, N 26, ст. 3390; N 30, ст. 4255; 2015, N 29, ст. 4359;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r>
        <w:t>14. Выпуск транспортного средства на линию без отметки о прохождении контроля и подписи контролера не допускается.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15. Субъект транспортной деятельности должен вести учет прохождения контроля. Журнал регистрации результатов контроля технического состояния транспортных средств (далее - журнал) должен содержать следующие реквизиты: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1) наименование марки, модели транспортного средства;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2) государственный регистрационный знак транспортного средства;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3) фамилию, имя, отчество (при наличии) водителя транспортного средства;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4) фамилию, имя, отчество (при наличии) контролера, проводившего контроль;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5) дату, время проведения контроля;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6) показания одометра (полные километры пробега) при проведении контроля;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7) отметку о прохождении контроля;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8) подпись контролера, проводившего контроль.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16. Журнал ведется на бумажном носителе, страницы которого должны быть прошнурованы, пронумерованы, и (или) на электронном носителе. При ведении журнала в электронной форме предусматривается обязательная возможность распечатки страниц журнала.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17. В случае ведения </w:t>
      </w:r>
      <w:proofErr w:type="gramStart"/>
      <w:r>
        <w:t>журнала</w:t>
      </w:r>
      <w:proofErr w:type="gramEnd"/>
      <w:r>
        <w:t xml:space="preserve"> в электронном виде внесенные в него сведения заверяются усиленной квалифицированной электронной подписью &lt;9&gt;.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449AA" w:rsidRDefault="00B449AA">
      <w:pPr>
        <w:pStyle w:val="ConsPlusNormal"/>
        <w:spacing w:before="220"/>
        <w:ind w:firstLine="540"/>
        <w:jc w:val="both"/>
      </w:pPr>
      <w:r>
        <w:t xml:space="preserve">&lt;9&gt;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N 27, ст. 3880; 2012, N 29, ст. 3988; 2013, N 14, ст. 1668; N 27, ст. 3463, 3477; 2014, N 11, ст. 1098; N 26, ст. 3390; </w:t>
      </w:r>
      <w:proofErr w:type="gramStart"/>
      <w:r>
        <w:t>2016, N 1, ст. 65; N 26, ст. 3889).</w:t>
      </w:r>
      <w:proofErr w:type="gramEnd"/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ind w:firstLine="540"/>
        <w:jc w:val="both"/>
      </w:pPr>
      <w:r>
        <w:t>18. В журнале допускается размещение дополнительных реквизитов, учитывающих особенности осуществления перевозок автомобильным транспортом или городским наземным электрическим транспортом.</w:t>
      </w: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jc w:val="both"/>
      </w:pPr>
    </w:p>
    <w:p w:rsidR="00B449AA" w:rsidRDefault="00B449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234" w:rsidRDefault="000E5234"/>
    <w:sectPr w:rsidR="000E5234" w:rsidSect="00A57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AA"/>
    <w:rsid w:val="000E5234"/>
    <w:rsid w:val="00446CDF"/>
    <w:rsid w:val="00AC42BA"/>
    <w:rsid w:val="00B4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4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4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49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B040830BD144E417568F6D6002987FCF14FE9DAEA74693257B420FEBB686CCC0A801E9A1AFBECAF898876D72A3BBFCD85FB38EFEEABAADE5DDA" TargetMode="External"/><Relationship Id="rId13" Type="http://schemas.openxmlformats.org/officeDocument/2006/relationships/hyperlink" Target="consultantplus://offline/ref=3EB040830BD144E417568F6D6002987FCF15FC9CABA34693257B420FEBB686CCC0A801E9A1AFBECBFD98876D72A3BBFCD85FB38EFEEABAADE5DDA" TargetMode="External"/><Relationship Id="rId18" Type="http://schemas.openxmlformats.org/officeDocument/2006/relationships/hyperlink" Target="consultantplus://offline/ref=3EB040830BD144E417568F6D6002987FCF1CF39FAFA74693257B420FEBB686CCC0A801E9A1AEB7CCF098876D72A3BBFCD85FB38EFEEABAADE5DDA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EB040830BD144E417568F6D6002987FCF17FB96AAA44693257B420FEBB686CCD2A859E5A0AEA0CAFA8DD13C37EFDEA" TargetMode="External"/><Relationship Id="rId7" Type="http://schemas.openxmlformats.org/officeDocument/2006/relationships/hyperlink" Target="consultantplus://offline/ref=3EB040830BD144E417568F6D6002987FCE14FB9FA8A24693257B420FEBB686CCD2A859E5A0AEA0CAFA8DD13C37EFDEA" TargetMode="External"/><Relationship Id="rId12" Type="http://schemas.openxmlformats.org/officeDocument/2006/relationships/hyperlink" Target="consultantplus://offline/ref=3EB040830BD144E417568F6D6002987FCF17FB97ACAA4693257B420FEBB686CCC0A801E9A1AFBFC9F998876D72A3BBFCD85FB38EFEEABAADE5DDA" TargetMode="External"/><Relationship Id="rId17" Type="http://schemas.openxmlformats.org/officeDocument/2006/relationships/hyperlink" Target="consultantplus://offline/ref=3EB040830BD144E417568F6D6002987FCF1CF39FAFA74693257B420FEBB686CCC0A801E9A1AFBACDF098876D72A3BBFCD85FB38EFEEABAADE5DD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B040830BD144E417568F6D6002987FCF1CF39FAFA74693257B420FEBB686CCC0A801E9A1AFB6CFF198876D72A3BBFCD85FB38EFEEABAADE5DDA" TargetMode="External"/><Relationship Id="rId20" Type="http://schemas.openxmlformats.org/officeDocument/2006/relationships/hyperlink" Target="consultantplus://offline/ref=3EB040830BD144E417568F6D6002987FCC1DF999AEAA4693257B420FEBB686CCD2A859E5A0AEA0CAFA8DD13C37EFDE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EB040830BD144E417568F6D6002987FCF14F399ABA74693257B420FEBB686CCD2A859E5A0AEA0CAFA8DD13C37EFDEA" TargetMode="External"/><Relationship Id="rId11" Type="http://schemas.openxmlformats.org/officeDocument/2006/relationships/hyperlink" Target="consultantplus://offline/ref=3EB040830BD144E417568F6D6002987FCF1CF39FAFA74693257B420FEBB686CCD2A859E5A0AEA0CAFA8DD13C37EFDEA" TargetMode="External"/><Relationship Id="rId5" Type="http://schemas.openxmlformats.org/officeDocument/2006/relationships/hyperlink" Target="consultantplus://offline/ref=3EB040830BD144E417568F6D6002987FCF17FB97ACAA4693257B420FEBB686CCC0A801EEA7A4EA9ABCC6DE3D37E8B7FFC743B28DEED8A" TargetMode="External"/><Relationship Id="rId15" Type="http://schemas.openxmlformats.org/officeDocument/2006/relationships/hyperlink" Target="consultantplus://offline/ref=3EB040830BD144E417568F6D6002987FCF1CF39FAFA74693257B420FEBB686CCC0A801E9A7A9B59FA9D7863137F7A8FCDB5FB08CE1EED0A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EB040830BD144E417568F6D6002987FCE15FE96A9A54693257B420FEBB686CCD2A859E5A0AEA0CAFA8DD13C37EFDEA" TargetMode="External"/><Relationship Id="rId19" Type="http://schemas.openxmlformats.org/officeDocument/2006/relationships/hyperlink" Target="consultantplus://offline/ref=3EB040830BD144E417568F6D6002987FCF1CF39FAFA74693257B420FEBB686CCC0A801E9A1ACBECAF998876D72A3BBFCD85FB38EFEEABAADE5D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B040830BD144E417568F6D6002987FCF1CF39FAFA74693257B420FEBB686CCC0A801E9A1AFBEC8FD98876D72A3BBFCD85FB38EFEEABAADE5DDA" TargetMode="External"/><Relationship Id="rId14" Type="http://schemas.openxmlformats.org/officeDocument/2006/relationships/hyperlink" Target="consultantplus://offline/ref=3EB040830BD144E417568F6D6002987FCF15FC9CABA34693257B420FEBB686CCC0A801E9A1AFBECAFA98876D72A3BBFCD85FB38EFEEABAADE5DD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Каренгина</cp:lastModifiedBy>
  <cp:revision>2</cp:revision>
  <dcterms:created xsi:type="dcterms:W3CDTF">2018-12-11T05:24:00Z</dcterms:created>
  <dcterms:modified xsi:type="dcterms:W3CDTF">2018-12-11T05:24:00Z</dcterms:modified>
</cp:coreProperties>
</file>