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2E045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муниципал</w:t>
      </w:r>
      <w:r w:rsidRPr="002E0452">
        <w:rPr>
          <w:b/>
          <w:color w:val="000000"/>
          <w:spacing w:val="50"/>
          <w:sz w:val="32"/>
          <w:szCs w:val="32"/>
        </w:rPr>
        <w:t>ь</w:t>
      </w:r>
      <w:r w:rsidR="00D0589F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3A18AB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2E0452" w:rsidRDefault="00201B97" w:rsidP="00201B97">
      <w:pPr>
        <w:pStyle w:val="1"/>
        <w:rPr>
          <w:color w:val="000000"/>
          <w:spacing w:val="40"/>
        </w:rPr>
      </w:pPr>
      <w:r w:rsidRPr="002E0452">
        <w:rPr>
          <w:color w:val="000000"/>
          <w:spacing w:val="40"/>
        </w:rPr>
        <w:t>ПОСТАНОВЛЕНИЕ</w:t>
      </w:r>
    </w:p>
    <w:p w:rsidR="00201B97" w:rsidRPr="003A18AB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70"/>
        <w:gridCol w:w="170"/>
        <w:gridCol w:w="54"/>
        <w:gridCol w:w="170"/>
        <w:gridCol w:w="4082"/>
        <w:gridCol w:w="171"/>
      </w:tblGrid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01B97" w:rsidRPr="00EB5DC0" w:rsidRDefault="00201B97" w:rsidP="00201B97">
            <w:pPr>
              <w:rPr>
                <w:color w:val="000000"/>
                <w:sz w:val="24"/>
                <w:szCs w:val="24"/>
              </w:rPr>
            </w:pPr>
            <w:r w:rsidRPr="00EB5DC0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61E0" w:rsidRDefault="002E4053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449" w:type="dxa"/>
          </w:tcPr>
          <w:p w:rsidR="00201B97" w:rsidRPr="005C61E0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61E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61E0" w:rsidRDefault="002E4053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110-37-579-17</w:t>
            </w:r>
          </w:p>
        </w:tc>
        <w:tc>
          <w:tcPr>
            <w:tcW w:w="794" w:type="dxa"/>
            <w:gridSpan w:val="3"/>
            <w:vMerge w:val="restart"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01B97" w:rsidRPr="002E045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A51C95" w:rsidRDefault="00201B97" w:rsidP="00201B97">
            <w:pPr>
              <w:jc w:val="right"/>
              <w:rPr>
                <w:color w:val="000000"/>
                <w:sz w:val="28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201B97" w:rsidRPr="002E0452" w:rsidRDefault="00201B97" w:rsidP="00201B97">
            <w:pPr>
              <w:jc w:val="center"/>
              <w:rPr>
                <w:color w:val="000000"/>
                <w:sz w:val="24"/>
              </w:rPr>
            </w:pPr>
            <w:r w:rsidRPr="002E0452">
              <w:rPr>
                <w:color w:val="000000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2E045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After w:val="4"/>
          <w:wAfter w:w="4477" w:type="dxa"/>
          <w:cantSplit/>
        </w:trPr>
        <w:tc>
          <w:tcPr>
            <w:tcW w:w="142" w:type="dxa"/>
          </w:tcPr>
          <w:p w:rsidR="00201B97" w:rsidRPr="002E045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A51C95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</w:tcPr>
          <w:p w:rsidR="00A51C95" w:rsidRDefault="00A51C95" w:rsidP="00A20B94">
            <w:pPr>
              <w:rPr>
                <w:color w:val="000000"/>
                <w:sz w:val="24"/>
                <w:szCs w:val="24"/>
              </w:rPr>
            </w:pPr>
          </w:p>
          <w:p w:rsidR="00201B97" w:rsidRPr="006C60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6C60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  <w:gridSpan w:val="5"/>
          </w:tcPr>
          <w:p w:rsidR="00A51C95" w:rsidRDefault="00A51C95" w:rsidP="00A51C95">
            <w:pPr>
              <w:jc w:val="both"/>
              <w:rPr>
                <w:sz w:val="24"/>
                <w:szCs w:val="24"/>
              </w:rPr>
            </w:pPr>
          </w:p>
          <w:p w:rsidR="00201B97" w:rsidRPr="006C6072" w:rsidRDefault="00C7027E" w:rsidP="000A271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образования «город Саянск» № 110-37-562-17 от 25.05.2017 «</w:t>
            </w:r>
            <w:r w:rsidR="006810C0">
              <w:rPr>
                <w:sz w:val="24"/>
                <w:szCs w:val="24"/>
              </w:rPr>
              <w:t xml:space="preserve">О принятии расходных обязательств по </w:t>
            </w:r>
            <w:r w:rsidR="00840F86">
              <w:rPr>
                <w:sz w:val="24"/>
                <w:szCs w:val="24"/>
              </w:rPr>
              <w:t xml:space="preserve">реализации мероприятий </w:t>
            </w:r>
            <w:r w:rsidR="006810C0">
              <w:rPr>
                <w:sz w:val="24"/>
                <w:szCs w:val="24"/>
              </w:rPr>
              <w:t>перечня проектов народных инициатив на 201</w:t>
            </w:r>
            <w:r w:rsidR="000A2715">
              <w:rPr>
                <w:sz w:val="24"/>
                <w:szCs w:val="24"/>
              </w:rPr>
              <w:t>7</w:t>
            </w:r>
            <w:r w:rsidR="006810C0">
              <w:rPr>
                <w:sz w:val="24"/>
                <w:szCs w:val="24"/>
              </w:rPr>
              <w:t xml:space="preserve"> год по муниципальному образованию «город Саянск»</w:t>
            </w:r>
          </w:p>
        </w:tc>
        <w:tc>
          <w:tcPr>
            <w:tcW w:w="170" w:type="dxa"/>
          </w:tcPr>
          <w:p w:rsidR="00201B97" w:rsidRPr="002E045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201B97" w:rsidRPr="00B11E28" w:rsidRDefault="00201B97" w:rsidP="00A20B94">
      <w:pPr>
        <w:rPr>
          <w:color w:val="000000"/>
          <w:sz w:val="24"/>
          <w:szCs w:val="24"/>
          <w:lang w:val="en-US"/>
        </w:rPr>
      </w:pPr>
    </w:p>
    <w:p w:rsidR="00D9310E" w:rsidRPr="00B769D5" w:rsidRDefault="00C7027E" w:rsidP="00B769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Министерства экономического развития Иркутской области № 02-62-1232/17 от 30.05.2017 «О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субсидий на реализацию проектов народных инициатив»</w:t>
      </w:r>
      <w:r w:rsidR="003D583A">
        <w:rPr>
          <w:sz w:val="28"/>
          <w:szCs w:val="28"/>
        </w:rPr>
        <w:t>,</w:t>
      </w:r>
      <w:r w:rsidR="00A6707D">
        <w:rPr>
          <w:sz w:val="28"/>
          <w:szCs w:val="28"/>
        </w:rPr>
        <w:t xml:space="preserve"> </w:t>
      </w:r>
      <w:r w:rsidR="006F1582">
        <w:rPr>
          <w:sz w:val="28"/>
          <w:szCs w:val="28"/>
        </w:rPr>
        <w:t>руководствуясь</w:t>
      </w:r>
      <w:r w:rsidR="00A6707D">
        <w:rPr>
          <w:sz w:val="28"/>
          <w:szCs w:val="28"/>
        </w:rPr>
        <w:t xml:space="preserve"> со ст. 15, </w:t>
      </w:r>
      <w:r w:rsidR="00A6707D" w:rsidRPr="00840F86">
        <w:rPr>
          <w:sz w:val="28"/>
          <w:szCs w:val="28"/>
        </w:rPr>
        <w:t>ст</w:t>
      </w:r>
      <w:r w:rsidR="00A6707D">
        <w:rPr>
          <w:sz w:val="28"/>
          <w:szCs w:val="28"/>
        </w:rPr>
        <w:t>.</w:t>
      </w:r>
      <w:r w:rsidR="00A6707D" w:rsidRPr="00840F86">
        <w:rPr>
          <w:sz w:val="28"/>
          <w:szCs w:val="28"/>
        </w:rPr>
        <w:t xml:space="preserve"> 38</w:t>
      </w:r>
      <w:r w:rsidR="00A6707D">
        <w:rPr>
          <w:sz w:val="28"/>
          <w:szCs w:val="28"/>
        </w:rPr>
        <w:t xml:space="preserve"> </w:t>
      </w:r>
      <w:r w:rsidR="00A6707D" w:rsidRPr="00840F86">
        <w:rPr>
          <w:sz w:val="28"/>
          <w:szCs w:val="28"/>
        </w:rPr>
        <w:t>Устава муниципального образования «город Саянск»</w:t>
      </w:r>
      <w:r w:rsidR="00724930">
        <w:rPr>
          <w:sz w:val="28"/>
          <w:szCs w:val="28"/>
        </w:rPr>
        <w:t>,</w:t>
      </w:r>
      <w:r w:rsidR="008C08D1">
        <w:rPr>
          <w:sz w:val="28"/>
          <w:szCs w:val="28"/>
        </w:rPr>
        <w:t xml:space="preserve"> </w:t>
      </w:r>
      <w:r w:rsidR="00D9310E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D9310E" w:rsidRPr="00840F86" w:rsidRDefault="00D9310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27D06" w:rsidRDefault="00A6707D" w:rsidP="00027D06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7D06">
        <w:rPr>
          <w:sz w:val="28"/>
          <w:szCs w:val="28"/>
        </w:rPr>
        <w:t>В</w:t>
      </w:r>
      <w:r w:rsidR="00027D06" w:rsidRPr="00626A12">
        <w:rPr>
          <w:sz w:val="28"/>
          <w:szCs w:val="28"/>
        </w:rPr>
        <w:t>нес</w:t>
      </w:r>
      <w:r w:rsidR="00027D06">
        <w:rPr>
          <w:sz w:val="28"/>
          <w:szCs w:val="28"/>
        </w:rPr>
        <w:t>ти</w:t>
      </w:r>
      <w:r w:rsidR="00027D06" w:rsidRPr="00626A12">
        <w:rPr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2</w:t>
      </w:r>
      <w:r w:rsidR="00027D06">
        <w:rPr>
          <w:sz w:val="28"/>
          <w:szCs w:val="28"/>
        </w:rPr>
        <w:t>5</w:t>
      </w:r>
      <w:r w:rsidR="00027D06" w:rsidRPr="00626A12">
        <w:rPr>
          <w:sz w:val="28"/>
          <w:szCs w:val="28"/>
        </w:rPr>
        <w:t>.0</w:t>
      </w:r>
      <w:r w:rsidR="00027D06">
        <w:rPr>
          <w:sz w:val="28"/>
          <w:szCs w:val="28"/>
        </w:rPr>
        <w:t>5</w:t>
      </w:r>
      <w:r w:rsidR="00027D06" w:rsidRPr="00626A12">
        <w:rPr>
          <w:sz w:val="28"/>
          <w:szCs w:val="28"/>
        </w:rPr>
        <w:t>.201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№ 110-37-</w:t>
      </w:r>
      <w:r w:rsidR="00027D06">
        <w:rPr>
          <w:sz w:val="28"/>
          <w:szCs w:val="28"/>
        </w:rPr>
        <w:t>562</w:t>
      </w:r>
      <w:r w:rsidR="00027D06" w:rsidRPr="00626A12">
        <w:rPr>
          <w:sz w:val="28"/>
          <w:szCs w:val="28"/>
        </w:rPr>
        <w:t>-1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«О принятии расходных обязательств по реализации мероприятий перечня проектов народных инициатив на 201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год по муниципальному образованию «город Саянск»</w:t>
      </w:r>
      <w:r w:rsidR="00027D06">
        <w:rPr>
          <w:sz w:val="28"/>
          <w:szCs w:val="28"/>
        </w:rPr>
        <w:t xml:space="preserve">  (далее – Постановление) следующие изменения:</w:t>
      </w:r>
    </w:p>
    <w:p w:rsidR="00027D06" w:rsidRDefault="00027D06" w:rsidP="00027D06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Постановлению изложить в редакции, согласно приложению к настоящему постановлению.</w:t>
      </w:r>
    </w:p>
    <w:p w:rsidR="00027D06" w:rsidRDefault="00027D06" w:rsidP="00027D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10EB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27D06" w:rsidRPr="00840F86" w:rsidRDefault="00027D06" w:rsidP="00027D06">
      <w:pPr>
        <w:pStyle w:val="4"/>
        <w:spacing w:line="276" w:lineRule="auto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840F86">
        <w:rPr>
          <w:bCs/>
          <w:color w:val="000000"/>
        </w:rPr>
        <w:t xml:space="preserve">. </w:t>
      </w:r>
      <w:r>
        <w:rPr>
          <w:bCs/>
          <w:color w:val="000000"/>
        </w:rPr>
        <w:t>Настоящее постановление</w:t>
      </w:r>
      <w:r w:rsidRPr="00840F86">
        <w:rPr>
          <w:bCs/>
          <w:color w:val="000000"/>
        </w:rPr>
        <w:t xml:space="preserve"> вступает в силу </w:t>
      </w:r>
      <w:r>
        <w:rPr>
          <w:bCs/>
          <w:color w:val="000000"/>
        </w:rPr>
        <w:t xml:space="preserve">после дня его </w:t>
      </w:r>
      <w:r w:rsidRPr="00840F86">
        <w:rPr>
          <w:bCs/>
          <w:color w:val="000000"/>
        </w:rPr>
        <w:t>подписания.</w:t>
      </w: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027D06" w:rsidRDefault="00027D06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6810C0" w:rsidRPr="00C5384E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>а</w:t>
      </w: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>городского округа муниципального</w:t>
      </w: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 xml:space="preserve">образования «город Саянск»                                                          </w:t>
      </w:r>
      <w:r w:rsidR="00027D06">
        <w:rPr>
          <w:rFonts w:ascii="Times New Roman" w:hAnsi="Times New Roman"/>
          <w:sz w:val="28"/>
          <w:szCs w:val="28"/>
        </w:rPr>
        <w:t>А.В. Ермаков</w:t>
      </w:r>
    </w:p>
    <w:p w:rsidR="00C7027E" w:rsidRDefault="00C7027E" w:rsidP="00201B97">
      <w:pPr>
        <w:rPr>
          <w:color w:val="000000"/>
          <w:sz w:val="16"/>
          <w:szCs w:val="16"/>
        </w:rPr>
      </w:pPr>
    </w:p>
    <w:p w:rsidR="00F1197F" w:rsidRPr="00C7027E" w:rsidRDefault="00C81A79" w:rsidP="00201B97">
      <w:pPr>
        <w:rPr>
          <w:color w:val="000000"/>
          <w:sz w:val="16"/>
          <w:szCs w:val="16"/>
        </w:rPr>
      </w:pPr>
      <w:r w:rsidRPr="00C7027E">
        <w:rPr>
          <w:color w:val="000000"/>
          <w:sz w:val="16"/>
          <w:szCs w:val="16"/>
        </w:rPr>
        <w:t xml:space="preserve">исп. </w:t>
      </w:r>
      <w:r w:rsidR="00E46E6F" w:rsidRPr="00C7027E">
        <w:rPr>
          <w:color w:val="000000"/>
          <w:sz w:val="16"/>
          <w:szCs w:val="16"/>
        </w:rPr>
        <w:t>Глубокова И.С</w:t>
      </w:r>
      <w:r w:rsidR="003B4B9F" w:rsidRPr="00C7027E">
        <w:rPr>
          <w:color w:val="000000"/>
          <w:sz w:val="16"/>
          <w:szCs w:val="16"/>
        </w:rPr>
        <w:t>.</w:t>
      </w:r>
      <w:r w:rsidR="00C07FB0" w:rsidRPr="00C7027E">
        <w:rPr>
          <w:color w:val="000000"/>
          <w:sz w:val="16"/>
          <w:szCs w:val="16"/>
        </w:rPr>
        <w:t>,</w:t>
      </w:r>
    </w:p>
    <w:p w:rsidR="00201B97" w:rsidRDefault="00E72950" w:rsidP="00201B97">
      <w:pPr>
        <w:rPr>
          <w:color w:val="000000"/>
          <w:sz w:val="16"/>
          <w:szCs w:val="16"/>
        </w:rPr>
      </w:pPr>
      <w:r w:rsidRPr="00C7027E">
        <w:rPr>
          <w:color w:val="000000"/>
          <w:sz w:val="16"/>
          <w:szCs w:val="16"/>
        </w:rPr>
        <w:t>т</w:t>
      </w:r>
      <w:r w:rsidR="00201B97" w:rsidRPr="00C7027E">
        <w:rPr>
          <w:color w:val="000000"/>
          <w:sz w:val="16"/>
          <w:szCs w:val="16"/>
        </w:rPr>
        <w:t>ел</w:t>
      </w:r>
      <w:r w:rsidR="00840F86" w:rsidRPr="00C7027E">
        <w:rPr>
          <w:color w:val="000000"/>
          <w:sz w:val="16"/>
          <w:szCs w:val="16"/>
        </w:rPr>
        <w:t>. 5-72</w:t>
      </w:r>
      <w:r w:rsidRPr="00C7027E">
        <w:rPr>
          <w:color w:val="000000"/>
          <w:sz w:val="16"/>
          <w:szCs w:val="16"/>
        </w:rPr>
        <w:t>-</w:t>
      </w:r>
      <w:r w:rsidR="00840F86" w:rsidRPr="00C7027E">
        <w:rPr>
          <w:color w:val="000000"/>
          <w:sz w:val="16"/>
          <w:szCs w:val="16"/>
        </w:rPr>
        <w:t>22</w:t>
      </w:r>
    </w:p>
    <w:p w:rsidR="00912EFD" w:rsidRDefault="00912EFD" w:rsidP="00912EFD">
      <w:pPr>
        <w:rPr>
          <w:rFonts w:ascii="Arial CYR" w:hAnsi="Arial CYR" w:cs="Arial CYR"/>
        </w:rPr>
        <w:sectPr w:rsidR="00912EFD" w:rsidSect="00C7027E">
          <w:pgSz w:w="11906" w:h="16838"/>
          <w:pgMar w:top="1134" w:right="567" w:bottom="993" w:left="1701" w:header="720" w:footer="720" w:gutter="0"/>
          <w:cols w:space="720"/>
        </w:sectPr>
      </w:pPr>
      <w:bookmarkStart w:id="0" w:name="RANGE!A1:H34"/>
      <w:bookmarkEnd w:id="0"/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4241"/>
        <w:gridCol w:w="992"/>
        <w:gridCol w:w="1843"/>
        <w:gridCol w:w="1780"/>
        <w:gridCol w:w="1606"/>
        <w:gridCol w:w="2142"/>
        <w:gridCol w:w="2410"/>
      </w:tblGrid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Приложение 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 постановлению администрации городского округа 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"город Саянск"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861759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от </w:t>
            </w:r>
            <w:r w:rsidR="00861759">
              <w:rPr>
                <w:sz w:val="28"/>
                <w:szCs w:val="28"/>
              </w:rPr>
              <w:t xml:space="preserve">02.06.2017 </w:t>
            </w:r>
            <w:r w:rsidRPr="00912EFD">
              <w:rPr>
                <w:sz w:val="28"/>
                <w:szCs w:val="28"/>
              </w:rPr>
              <w:t xml:space="preserve"> №</w:t>
            </w:r>
            <w:r w:rsidR="00861759">
              <w:rPr>
                <w:sz w:val="28"/>
                <w:szCs w:val="28"/>
              </w:rPr>
              <w:t xml:space="preserve"> 110-37-579-17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Приложение 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 постановлению администрации городского округа 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"город Саянск"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rFonts w:ascii="Arial CYR" w:hAnsi="Arial CYR" w:cs="Arial CYR"/>
              </w:rPr>
            </w:pPr>
          </w:p>
        </w:tc>
        <w:tc>
          <w:tcPr>
            <w:tcW w:w="4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right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от 25.05.2017 № 110-37-562-17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390"/>
        </w:trPr>
        <w:tc>
          <w:tcPr>
            <w:tcW w:w="1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Распределение расходных обязательств по реализации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390"/>
        </w:trPr>
        <w:tc>
          <w:tcPr>
            <w:tcW w:w="1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перечня проектов народных инициатив городского округа муниципального образования "город Саянск"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390"/>
        </w:trPr>
        <w:tc>
          <w:tcPr>
            <w:tcW w:w="1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по объемам финансирования и главным распорядителям бюджетных средств (ГРБС)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4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№ </w:t>
            </w:r>
            <w:proofErr w:type="gramStart"/>
            <w:r w:rsidRPr="00912EFD">
              <w:rPr>
                <w:sz w:val="28"/>
                <w:szCs w:val="28"/>
              </w:rPr>
              <w:t>п</w:t>
            </w:r>
            <w:proofErr w:type="gramEnd"/>
            <w:r w:rsidRPr="00912EFD">
              <w:rPr>
                <w:sz w:val="28"/>
                <w:szCs w:val="28"/>
              </w:rPr>
              <w:t>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Объем финансирования - всего, руб.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912EFD">
              <w:rPr>
                <w:sz w:val="28"/>
                <w:szCs w:val="28"/>
              </w:rPr>
              <w:t>из</w:t>
            </w:r>
            <w:proofErr w:type="gramEnd"/>
            <w:r w:rsidRPr="00912EFD">
              <w:rPr>
                <w:sz w:val="28"/>
                <w:szCs w:val="28"/>
              </w:rPr>
              <w:t>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Наименование пункта </w:t>
            </w:r>
            <w:r w:rsidRPr="00912EFD">
              <w:rPr>
                <w:sz w:val="28"/>
                <w:szCs w:val="28"/>
              </w:rPr>
              <w:br/>
              <w:t>статьи ФЗ от 06.10.2003 г.</w:t>
            </w:r>
            <w:r w:rsidRPr="00912EFD">
              <w:rPr>
                <w:sz w:val="28"/>
                <w:szCs w:val="28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ГРБС - </w:t>
            </w:r>
            <w:proofErr w:type="gramStart"/>
            <w:r w:rsidRPr="00912EFD">
              <w:rPr>
                <w:sz w:val="28"/>
                <w:szCs w:val="28"/>
              </w:rPr>
              <w:t>ответственный</w:t>
            </w:r>
            <w:proofErr w:type="gramEnd"/>
            <w:r w:rsidRPr="00912EFD">
              <w:rPr>
                <w:sz w:val="28"/>
                <w:szCs w:val="28"/>
              </w:rPr>
              <w:t xml:space="preserve"> за исполнение мероприятия</w:t>
            </w:r>
          </w:p>
        </w:tc>
      </w:tr>
      <w:tr w:rsidR="00912EFD" w:rsidRPr="00912EFD" w:rsidTr="00912EFD">
        <w:trPr>
          <w:trHeight w:val="193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областного бюджета, руб.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местного        бюджета, руб.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912EFD">
              <w:rPr>
                <w:sz w:val="28"/>
                <w:szCs w:val="28"/>
              </w:rPr>
              <w:t>ребенка-детский</w:t>
            </w:r>
            <w:proofErr w:type="gramEnd"/>
            <w:r w:rsidRPr="00912EFD">
              <w:rPr>
                <w:sz w:val="28"/>
                <w:szCs w:val="28"/>
              </w:rPr>
              <w:t xml:space="preserve"> сад № 21 «Брусничка», расположенного по адресу г.Саянск,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Олимпийский, д. 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до 30 декабря 2017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1 116 485,00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1 004 836,00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111 649,00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912EFD" w:rsidRPr="00912EFD" w:rsidTr="00912EFD">
        <w:trPr>
          <w:trHeight w:val="15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Приобретение 10 детских игровых площадок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1 851 000,00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1 665 900,00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185 100,00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Строителей, д. 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959 642,00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863 678,00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95 964,00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912EFD" w:rsidRPr="00912EFD" w:rsidTr="00912EFD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Устройство теневых навесов в муниципальном дошкольном образовательном учреждении «Детский сад комбинированного вида №35 «Радуга» (2 шт.), расположенного по адресу г.Саянск,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Октябрьский, д. 35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370 483,00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333 435,00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37 048,00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912EFD" w:rsidRPr="00912EFD" w:rsidTr="00912EFD">
        <w:trPr>
          <w:trHeight w:val="15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Устройство теневых навесов в муниципальном дошкольном образовательном учреждении «Центр развития ребёнка – детский сад №36 «Улыбка» (2 шт.), расположенного по адресу г.Саянск,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Октябрьский, д. 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370 483,00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333 435,00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37 048,00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МКУ "Управление образования"</w:t>
            </w:r>
          </w:p>
        </w:tc>
      </w:tr>
      <w:tr w:rsidR="00912EFD" w:rsidRPr="00912EFD" w:rsidTr="00912EFD">
        <w:trPr>
          <w:trHeight w:val="3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Ремонт автомобильных дорог (дорожное полотно) к теплично-парниковому комбинату (25м2), автомобильная дорога от г. Саянска до здания по адресу: г. Саянск, подъезд к г. Саянск №1 (175м2), проспект Ленинградский (300м2), ул. Советская (205м2), ул. Ленина (85м2), ул. Таёжная (39м2), ул. Комсомольская (33 м</w:t>
            </w:r>
            <w:proofErr w:type="gramStart"/>
            <w:r w:rsidRPr="00912EFD">
              <w:rPr>
                <w:sz w:val="28"/>
                <w:szCs w:val="28"/>
              </w:rPr>
              <w:t>2</w:t>
            </w:r>
            <w:proofErr w:type="gramEnd"/>
            <w:r w:rsidRPr="00912EFD">
              <w:rPr>
                <w:sz w:val="28"/>
                <w:szCs w:val="28"/>
              </w:rPr>
              <w:t xml:space="preserve">), ул. Школьная (44м2), ул. Спортивная (60 м2), ул. Молодежная (59 м2), ул. </w:t>
            </w:r>
            <w:proofErr w:type="spellStart"/>
            <w:r w:rsidRPr="00912EFD">
              <w:rPr>
                <w:sz w:val="28"/>
                <w:szCs w:val="28"/>
              </w:rPr>
              <w:t>Гришкевича</w:t>
            </w:r>
            <w:proofErr w:type="spellEnd"/>
            <w:r w:rsidRPr="00912EFD">
              <w:rPr>
                <w:sz w:val="28"/>
                <w:szCs w:val="28"/>
              </w:rPr>
              <w:t xml:space="preserve"> (80м2), ул. Перова (55м2), ул. Бабаева (70м2), автодорога Западная (45м2),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 xml:space="preserve">.  Юбилейный, </w:t>
            </w:r>
            <w:proofErr w:type="spellStart"/>
            <w:r w:rsidRPr="00912EFD">
              <w:rPr>
                <w:sz w:val="28"/>
                <w:szCs w:val="28"/>
              </w:rPr>
              <w:t>внутримикрорайонный</w:t>
            </w:r>
            <w:proofErr w:type="spellEnd"/>
            <w:r w:rsidRPr="00912EFD">
              <w:rPr>
                <w:sz w:val="28"/>
                <w:szCs w:val="28"/>
              </w:rPr>
              <w:t xml:space="preserve"> проезд от ул. Ленина до ул. </w:t>
            </w:r>
            <w:proofErr w:type="gramStart"/>
            <w:r w:rsidRPr="00912EFD">
              <w:rPr>
                <w:sz w:val="28"/>
                <w:szCs w:val="28"/>
              </w:rPr>
              <w:t>Школьной</w:t>
            </w:r>
            <w:proofErr w:type="gramEnd"/>
            <w:r w:rsidRPr="00912EFD">
              <w:rPr>
                <w:sz w:val="28"/>
                <w:szCs w:val="28"/>
              </w:rPr>
              <w:t xml:space="preserve"> (30м2)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1 300 000,00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1 170 000,00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130 000,00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912EFD" w:rsidRPr="00912EFD" w:rsidTr="00912EFD">
        <w:trPr>
          <w:trHeight w:val="16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Обустройство пешеходной дорожки к муниципальному дошкольному образовательному учреждению «Детский сад комбинированного вида №35 «Радуга»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154 849,00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139 364,00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15 485,00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пешеходной дорожки по ул. Бабаева в районе МКД № 38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Мирный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92 953,00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83 658,00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9 295,00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пешеходной дорожки по пр. </w:t>
            </w:r>
            <w:proofErr w:type="gramStart"/>
            <w:r w:rsidRPr="00912EFD">
              <w:rPr>
                <w:sz w:val="28"/>
                <w:szCs w:val="28"/>
              </w:rPr>
              <w:t>Ленинградский</w:t>
            </w:r>
            <w:proofErr w:type="gramEnd"/>
            <w:r w:rsidRPr="00912EFD">
              <w:rPr>
                <w:sz w:val="28"/>
                <w:szCs w:val="28"/>
              </w:rPr>
              <w:t xml:space="preserve"> в районе МКД № 8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Ленинградский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343 275,00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308 947,00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34 328,00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пешеходного перехода по ул. </w:t>
            </w:r>
            <w:proofErr w:type="spellStart"/>
            <w:r w:rsidRPr="00912EFD">
              <w:rPr>
                <w:sz w:val="28"/>
                <w:szCs w:val="28"/>
              </w:rPr>
              <w:t>Гришкевича</w:t>
            </w:r>
            <w:proofErr w:type="spellEnd"/>
            <w:r w:rsidRPr="00912EFD">
              <w:rPr>
                <w:sz w:val="28"/>
                <w:szCs w:val="28"/>
              </w:rPr>
              <w:t xml:space="preserve"> в районе муниципального образовательного учреждения «Средняя общеобразовательная школа № 5» </w:t>
            </w:r>
            <w:proofErr w:type="spellStart"/>
            <w:r w:rsidRPr="00912EFD">
              <w:rPr>
                <w:sz w:val="28"/>
                <w:szCs w:val="28"/>
              </w:rPr>
              <w:t>мкр</w:t>
            </w:r>
            <w:proofErr w:type="spellEnd"/>
            <w:r w:rsidRPr="00912EFD">
              <w:rPr>
                <w:sz w:val="28"/>
                <w:szCs w:val="28"/>
              </w:rPr>
              <w:t>. Строителей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657 817,00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592 035,00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65 782,00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автобусной остановки общественного транспорта с павильоном в районе МКД 1, 2, 3 ул. </w:t>
            </w:r>
            <w:proofErr w:type="spellStart"/>
            <w:r w:rsidRPr="00912EFD">
              <w:rPr>
                <w:sz w:val="28"/>
                <w:szCs w:val="28"/>
              </w:rPr>
              <w:t>Промузел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218 001,00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196 201,00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21 800,00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автобусных остановок общественного транспорта с посадочной платформой (2 шт.) на автомобильной дороге подъезд к </w:t>
            </w:r>
            <w:proofErr w:type="spellStart"/>
            <w:r w:rsidRPr="00912EFD">
              <w:rPr>
                <w:sz w:val="28"/>
                <w:szCs w:val="28"/>
              </w:rPr>
              <w:t>г</w:t>
            </w:r>
            <w:proofErr w:type="gramStart"/>
            <w:r w:rsidRPr="00912EFD">
              <w:rPr>
                <w:sz w:val="28"/>
                <w:szCs w:val="28"/>
              </w:rPr>
              <w:t>.С</w:t>
            </w:r>
            <w:proofErr w:type="gramEnd"/>
            <w:r w:rsidRPr="00912EFD">
              <w:rPr>
                <w:sz w:val="28"/>
                <w:szCs w:val="28"/>
              </w:rPr>
              <w:t>аянску</w:t>
            </w:r>
            <w:proofErr w:type="spellEnd"/>
            <w:r w:rsidRPr="00912EFD">
              <w:rPr>
                <w:sz w:val="28"/>
                <w:szCs w:val="28"/>
              </w:rPr>
              <w:t xml:space="preserve"> № 1 в районе пункта полигонометрии № 276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728 114,00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655 303,00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72 811,00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15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Обустройство пешеходных дорожек к траурному павильону городского кладбища, расположенного по адресу: </w:t>
            </w:r>
            <w:proofErr w:type="spellStart"/>
            <w:r w:rsidRPr="00912EFD">
              <w:rPr>
                <w:sz w:val="28"/>
                <w:szCs w:val="28"/>
              </w:rPr>
              <w:t>Зиминский</w:t>
            </w:r>
            <w:proofErr w:type="spellEnd"/>
            <w:r w:rsidRPr="00912EFD">
              <w:rPr>
                <w:sz w:val="28"/>
                <w:szCs w:val="28"/>
              </w:rPr>
              <w:t xml:space="preserve"> район, 11-й км </w:t>
            </w:r>
            <w:proofErr w:type="spellStart"/>
            <w:r w:rsidRPr="00912EFD">
              <w:rPr>
                <w:sz w:val="28"/>
                <w:szCs w:val="28"/>
              </w:rPr>
              <w:t>Черемшанского</w:t>
            </w:r>
            <w:proofErr w:type="spellEnd"/>
            <w:r w:rsidRPr="00912EFD">
              <w:rPr>
                <w:sz w:val="28"/>
                <w:szCs w:val="28"/>
              </w:rPr>
              <w:t xml:space="preserve"> тракта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color w:val="000000"/>
                <w:sz w:val="28"/>
                <w:szCs w:val="28"/>
              </w:rPr>
            </w:pPr>
            <w:r w:rsidRPr="00912EFD">
              <w:rPr>
                <w:color w:val="000000"/>
                <w:sz w:val="28"/>
                <w:szCs w:val="28"/>
              </w:rPr>
              <w:t>854 787,00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769 308,00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85 479,00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39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color w:val="000000"/>
                <w:sz w:val="28"/>
                <w:szCs w:val="28"/>
              </w:rPr>
              <w:t>9 017 889,00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color w:val="000000"/>
                <w:sz w:val="28"/>
                <w:szCs w:val="28"/>
              </w:rPr>
              <w:t>8 116 100,00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color w:val="000000"/>
                <w:sz w:val="28"/>
                <w:szCs w:val="28"/>
              </w:rPr>
              <w:t>901 789,00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12EF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</w:tr>
      <w:tr w:rsidR="00912EFD" w:rsidRPr="00912EFD" w:rsidTr="00912EFD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Замена светильников по пр. Ленинградский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МКУ "Администрация городского округа муниципального образования "город Саянск" (Отдел жилищной </w:t>
            </w:r>
            <w:r w:rsidRPr="00912EFD">
              <w:rPr>
                <w:sz w:val="28"/>
                <w:szCs w:val="28"/>
              </w:rPr>
              <w:lastRenderedPageBreak/>
              <w:t>политики)</w:t>
            </w:r>
            <w:bookmarkStart w:id="1" w:name="_GoBack"/>
            <w:bookmarkEnd w:id="1"/>
          </w:p>
        </w:tc>
      </w:tr>
      <w:tr w:rsidR="00912EFD" w:rsidRPr="00912EFD" w:rsidTr="00912EFD">
        <w:trPr>
          <w:trHeight w:val="15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Приобретение игрового оборудования для детских игровых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EFD" w:rsidRPr="00912EFD" w:rsidRDefault="00912EFD" w:rsidP="00912EFD">
            <w:pPr>
              <w:jc w:val="center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16.1.13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EFD" w:rsidRPr="00912EFD" w:rsidRDefault="00912EFD" w:rsidP="00912EFD">
            <w:pPr>
              <w:jc w:val="both"/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  <w:proofErr w:type="gramStart"/>
            <w:r w:rsidRPr="00912EFD">
              <w:rPr>
                <w:sz w:val="28"/>
                <w:szCs w:val="28"/>
              </w:rPr>
              <w:t>муниципального</w:t>
            </w:r>
            <w:proofErr w:type="gramEnd"/>
            <w:r w:rsidRPr="00912EFD">
              <w:rPr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124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Исполняющий обязанности мэра городского округа муниципального образования "город Саянск"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  <w:r w:rsidRPr="00912EFD">
              <w:rPr>
                <w:sz w:val="28"/>
                <w:szCs w:val="28"/>
              </w:rPr>
              <w:t>А.В. Ермаков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  <w:tr w:rsidR="00912EFD" w:rsidRPr="00912EFD" w:rsidTr="00912EF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EFD" w:rsidRPr="00912EFD" w:rsidRDefault="00912EFD" w:rsidP="00912EFD">
            <w:pPr>
              <w:rPr>
                <w:sz w:val="28"/>
                <w:szCs w:val="28"/>
              </w:rPr>
            </w:pPr>
          </w:p>
        </w:tc>
      </w:tr>
    </w:tbl>
    <w:p w:rsidR="00912EFD" w:rsidRPr="00C7027E" w:rsidRDefault="00912EFD" w:rsidP="00201B97">
      <w:pPr>
        <w:rPr>
          <w:color w:val="000000"/>
          <w:sz w:val="16"/>
          <w:szCs w:val="16"/>
        </w:rPr>
      </w:pPr>
    </w:p>
    <w:sectPr w:rsidR="00912EFD" w:rsidRPr="00C7027E" w:rsidSect="00912EFD">
      <w:pgSz w:w="16838" w:h="11906" w:orient="landscape"/>
      <w:pgMar w:top="709" w:right="1134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14" w:rsidRDefault="00305414">
      <w:r>
        <w:separator/>
      </w:r>
    </w:p>
  </w:endnote>
  <w:endnote w:type="continuationSeparator" w:id="0">
    <w:p w:rsidR="00305414" w:rsidRDefault="0030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14" w:rsidRDefault="00305414">
      <w:r>
        <w:separator/>
      </w:r>
    </w:p>
  </w:footnote>
  <w:footnote w:type="continuationSeparator" w:id="0">
    <w:p w:rsidR="00305414" w:rsidRDefault="0030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3FE8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7"/>
    <w:rsid w:val="00001A32"/>
    <w:rsid w:val="00003A9E"/>
    <w:rsid w:val="00012AEA"/>
    <w:rsid w:val="000149EC"/>
    <w:rsid w:val="00014F8E"/>
    <w:rsid w:val="00027D06"/>
    <w:rsid w:val="000307CE"/>
    <w:rsid w:val="000369C0"/>
    <w:rsid w:val="00053C31"/>
    <w:rsid w:val="00061D37"/>
    <w:rsid w:val="0006625B"/>
    <w:rsid w:val="0007025E"/>
    <w:rsid w:val="00076EA1"/>
    <w:rsid w:val="00080D8C"/>
    <w:rsid w:val="00081B7D"/>
    <w:rsid w:val="00085B94"/>
    <w:rsid w:val="00087E96"/>
    <w:rsid w:val="000A2715"/>
    <w:rsid w:val="000B7C40"/>
    <w:rsid w:val="000D030C"/>
    <w:rsid w:val="000D42B2"/>
    <w:rsid w:val="000D7B2E"/>
    <w:rsid w:val="000E06F1"/>
    <w:rsid w:val="000F0482"/>
    <w:rsid w:val="000F48E5"/>
    <w:rsid w:val="001029C5"/>
    <w:rsid w:val="001102AB"/>
    <w:rsid w:val="00112BDF"/>
    <w:rsid w:val="00120C70"/>
    <w:rsid w:val="001213AF"/>
    <w:rsid w:val="00127DEC"/>
    <w:rsid w:val="001306C6"/>
    <w:rsid w:val="00132F7D"/>
    <w:rsid w:val="0014253B"/>
    <w:rsid w:val="001517F5"/>
    <w:rsid w:val="00161F8C"/>
    <w:rsid w:val="00165FB1"/>
    <w:rsid w:val="00183022"/>
    <w:rsid w:val="00184B5A"/>
    <w:rsid w:val="001B19D0"/>
    <w:rsid w:val="001B5926"/>
    <w:rsid w:val="001E4F1A"/>
    <w:rsid w:val="001F62AF"/>
    <w:rsid w:val="00200FE6"/>
    <w:rsid w:val="00201B97"/>
    <w:rsid w:val="00210470"/>
    <w:rsid w:val="00214B4F"/>
    <w:rsid w:val="002153E1"/>
    <w:rsid w:val="00223AB6"/>
    <w:rsid w:val="002245C7"/>
    <w:rsid w:val="00233E63"/>
    <w:rsid w:val="00243C31"/>
    <w:rsid w:val="00264FA2"/>
    <w:rsid w:val="00274C9E"/>
    <w:rsid w:val="002C42C6"/>
    <w:rsid w:val="002D5C43"/>
    <w:rsid w:val="002D79BB"/>
    <w:rsid w:val="002E0234"/>
    <w:rsid w:val="002E0452"/>
    <w:rsid w:val="002E4053"/>
    <w:rsid w:val="002E45BE"/>
    <w:rsid w:val="002E5CD5"/>
    <w:rsid w:val="002E69C7"/>
    <w:rsid w:val="002F321C"/>
    <w:rsid w:val="00305414"/>
    <w:rsid w:val="0030607A"/>
    <w:rsid w:val="00312C19"/>
    <w:rsid w:val="00321AF8"/>
    <w:rsid w:val="00331892"/>
    <w:rsid w:val="0033250D"/>
    <w:rsid w:val="00333298"/>
    <w:rsid w:val="00340423"/>
    <w:rsid w:val="003477B6"/>
    <w:rsid w:val="0036060A"/>
    <w:rsid w:val="00381506"/>
    <w:rsid w:val="00387199"/>
    <w:rsid w:val="003947DD"/>
    <w:rsid w:val="003A0DDF"/>
    <w:rsid w:val="003A18AB"/>
    <w:rsid w:val="003A7F35"/>
    <w:rsid w:val="003B015C"/>
    <w:rsid w:val="003B37F9"/>
    <w:rsid w:val="003B40BE"/>
    <w:rsid w:val="003B4B9F"/>
    <w:rsid w:val="003C1181"/>
    <w:rsid w:val="003C7DCF"/>
    <w:rsid w:val="003D006E"/>
    <w:rsid w:val="003D583A"/>
    <w:rsid w:val="003F72C8"/>
    <w:rsid w:val="00401346"/>
    <w:rsid w:val="00402FA6"/>
    <w:rsid w:val="00405771"/>
    <w:rsid w:val="00412EC2"/>
    <w:rsid w:val="00413435"/>
    <w:rsid w:val="0041572D"/>
    <w:rsid w:val="004163EA"/>
    <w:rsid w:val="0042624F"/>
    <w:rsid w:val="00426F7B"/>
    <w:rsid w:val="00431D26"/>
    <w:rsid w:val="00440A4A"/>
    <w:rsid w:val="004446E3"/>
    <w:rsid w:val="00445B51"/>
    <w:rsid w:val="00460918"/>
    <w:rsid w:val="004652EC"/>
    <w:rsid w:val="00465550"/>
    <w:rsid w:val="0047272F"/>
    <w:rsid w:val="00476B68"/>
    <w:rsid w:val="00492255"/>
    <w:rsid w:val="004B11FF"/>
    <w:rsid w:val="004B14F7"/>
    <w:rsid w:val="004B236B"/>
    <w:rsid w:val="004B4169"/>
    <w:rsid w:val="004C3955"/>
    <w:rsid w:val="004C66F3"/>
    <w:rsid w:val="004D4BB6"/>
    <w:rsid w:val="004E7618"/>
    <w:rsid w:val="004F1139"/>
    <w:rsid w:val="005136E6"/>
    <w:rsid w:val="0052164A"/>
    <w:rsid w:val="00526F27"/>
    <w:rsid w:val="00543224"/>
    <w:rsid w:val="00555EB6"/>
    <w:rsid w:val="00555FC7"/>
    <w:rsid w:val="005658EB"/>
    <w:rsid w:val="005668DD"/>
    <w:rsid w:val="00571255"/>
    <w:rsid w:val="005728FB"/>
    <w:rsid w:val="00577BB5"/>
    <w:rsid w:val="005904EF"/>
    <w:rsid w:val="00592096"/>
    <w:rsid w:val="005A5E6E"/>
    <w:rsid w:val="005A6B2C"/>
    <w:rsid w:val="005B006B"/>
    <w:rsid w:val="005B63D0"/>
    <w:rsid w:val="005B7807"/>
    <w:rsid w:val="005C4162"/>
    <w:rsid w:val="005C4FA2"/>
    <w:rsid w:val="005C61E0"/>
    <w:rsid w:val="005D1272"/>
    <w:rsid w:val="005D3805"/>
    <w:rsid w:val="005E3FF3"/>
    <w:rsid w:val="00600238"/>
    <w:rsid w:val="00604746"/>
    <w:rsid w:val="0060728F"/>
    <w:rsid w:val="00612640"/>
    <w:rsid w:val="00617D34"/>
    <w:rsid w:val="00621490"/>
    <w:rsid w:val="0062732A"/>
    <w:rsid w:val="00651C3F"/>
    <w:rsid w:val="0065639E"/>
    <w:rsid w:val="00665767"/>
    <w:rsid w:val="00676142"/>
    <w:rsid w:val="006810C0"/>
    <w:rsid w:val="00695249"/>
    <w:rsid w:val="006975C1"/>
    <w:rsid w:val="006977C3"/>
    <w:rsid w:val="006B7773"/>
    <w:rsid w:val="006C1F41"/>
    <w:rsid w:val="006C4C3E"/>
    <w:rsid w:val="006C6072"/>
    <w:rsid w:val="006D2712"/>
    <w:rsid w:val="006D4881"/>
    <w:rsid w:val="006D51E3"/>
    <w:rsid w:val="006D542C"/>
    <w:rsid w:val="006E2AA4"/>
    <w:rsid w:val="006F1582"/>
    <w:rsid w:val="006F177B"/>
    <w:rsid w:val="006F5F5A"/>
    <w:rsid w:val="006F6DB6"/>
    <w:rsid w:val="00704B93"/>
    <w:rsid w:val="00724930"/>
    <w:rsid w:val="00735BE0"/>
    <w:rsid w:val="00744E56"/>
    <w:rsid w:val="00751ADA"/>
    <w:rsid w:val="00757B87"/>
    <w:rsid w:val="00772119"/>
    <w:rsid w:val="00775393"/>
    <w:rsid w:val="00777DF1"/>
    <w:rsid w:val="007A3C75"/>
    <w:rsid w:val="007B053D"/>
    <w:rsid w:val="007C3DB8"/>
    <w:rsid w:val="007C4C79"/>
    <w:rsid w:val="007C715C"/>
    <w:rsid w:val="007D0E26"/>
    <w:rsid w:val="007D172D"/>
    <w:rsid w:val="007D1D03"/>
    <w:rsid w:val="007D3D1C"/>
    <w:rsid w:val="007D7792"/>
    <w:rsid w:val="007E31EB"/>
    <w:rsid w:val="007F7FA1"/>
    <w:rsid w:val="008119D8"/>
    <w:rsid w:val="00815E6E"/>
    <w:rsid w:val="00824926"/>
    <w:rsid w:val="0083136C"/>
    <w:rsid w:val="00840F86"/>
    <w:rsid w:val="00842110"/>
    <w:rsid w:val="00853DD9"/>
    <w:rsid w:val="008571A1"/>
    <w:rsid w:val="00861759"/>
    <w:rsid w:val="008667DF"/>
    <w:rsid w:val="008742AC"/>
    <w:rsid w:val="00885356"/>
    <w:rsid w:val="008A2780"/>
    <w:rsid w:val="008B2CA2"/>
    <w:rsid w:val="008B3209"/>
    <w:rsid w:val="008C0174"/>
    <w:rsid w:val="008C08D1"/>
    <w:rsid w:val="008C77A2"/>
    <w:rsid w:val="008D224A"/>
    <w:rsid w:val="008E64BC"/>
    <w:rsid w:val="008F0ACB"/>
    <w:rsid w:val="009120D6"/>
    <w:rsid w:val="00912EFD"/>
    <w:rsid w:val="00940775"/>
    <w:rsid w:val="00954A26"/>
    <w:rsid w:val="00965B13"/>
    <w:rsid w:val="00987E7E"/>
    <w:rsid w:val="009A2AB8"/>
    <w:rsid w:val="009B05AA"/>
    <w:rsid w:val="009B7A81"/>
    <w:rsid w:val="009C1C80"/>
    <w:rsid w:val="009C581F"/>
    <w:rsid w:val="009E3B07"/>
    <w:rsid w:val="009E3C2A"/>
    <w:rsid w:val="009E61F3"/>
    <w:rsid w:val="009E7E77"/>
    <w:rsid w:val="009F273F"/>
    <w:rsid w:val="009F7391"/>
    <w:rsid w:val="00A01A39"/>
    <w:rsid w:val="00A059CE"/>
    <w:rsid w:val="00A20B94"/>
    <w:rsid w:val="00A24899"/>
    <w:rsid w:val="00A269C0"/>
    <w:rsid w:val="00A51C95"/>
    <w:rsid w:val="00A52322"/>
    <w:rsid w:val="00A65B8C"/>
    <w:rsid w:val="00A66019"/>
    <w:rsid w:val="00A6707D"/>
    <w:rsid w:val="00A732A3"/>
    <w:rsid w:val="00A76242"/>
    <w:rsid w:val="00A94EDF"/>
    <w:rsid w:val="00A963DA"/>
    <w:rsid w:val="00AB204B"/>
    <w:rsid w:val="00AB3461"/>
    <w:rsid w:val="00AB7A89"/>
    <w:rsid w:val="00AC4540"/>
    <w:rsid w:val="00AC5346"/>
    <w:rsid w:val="00AF2F1A"/>
    <w:rsid w:val="00AF556E"/>
    <w:rsid w:val="00B01ED1"/>
    <w:rsid w:val="00B11E28"/>
    <w:rsid w:val="00B20C25"/>
    <w:rsid w:val="00B23353"/>
    <w:rsid w:val="00B35C59"/>
    <w:rsid w:val="00B46BE9"/>
    <w:rsid w:val="00B47505"/>
    <w:rsid w:val="00B53548"/>
    <w:rsid w:val="00B65241"/>
    <w:rsid w:val="00B70662"/>
    <w:rsid w:val="00B769D5"/>
    <w:rsid w:val="00B963D9"/>
    <w:rsid w:val="00BA171E"/>
    <w:rsid w:val="00BA3465"/>
    <w:rsid w:val="00BB2B50"/>
    <w:rsid w:val="00BC14B4"/>
    <w:rsid w:val="00BD1D3F"/>
    <w:rsid w:val="00BD5B79"/>
    <w:rsid w:val="00BD7EAE"/>
    <w:rsid w:val="00BE2E89"/>
    <w:rsid w:val="00BF2C96"/>
    <w:rsid w:val="00BF6727"/>
    <w:rsid w:val="00C00DC5"/>
    <w:rsid w:val="00C07FB0"/>
    <w:rsid w:val="00C17667"/>
    <w:rsid w:val="00C23FA7"/>
    <w:rsid w:val="00C252DC"/>
    <w:rsid w:val="00C30F7E"/>
    <w:rsid w:val="00C36B98"/>
    <w:rsid w:val="00C4263D"/>
    <w:rsid w:val="00C7027E"/>
    <w:rsid w:val="00C7725E"/>
    <w:rsid w:val="00C81A79"/>
    <w:rsid w:val="00C94F37"/>
    <w:rsid w:val="00C966EC"/>
    <w:rsid w:val="00CD5F38"/>
    <w:rsid w:val="00CE023A"/>
    <w:rsid w:val="00CE2F56"/>
    <w:rsid w:val="00CF1E36"/>
    <w:rsid w:val="00CF447E"/>
    <w:rsid w:val="00D0589F"/>
    <w:rsid w:val="00D075A7"/>
    <w:rsid w:val="00D10440"/>
    <w:rsid w:val="00D27395"/>
    <w:rsid w:val="00D372FF"/>
    <w:rsid w:val="00D50D03"/>
    <w:rsid w:val="00D54631"/>
    <w:rsid w:val="00D574BF"/>
    <w:rsid w:val="00D60B2B"/>
    <w:rsid w:val="00D6476D"/>
    <w:rsid w:val="00D72377"/>
    <w:rsid w:val="00D7487B"/>
    <w:rsid w:val="00D80993"/>
    <w:rsid w:val="00D87245"/>
    <w:rsid w:val="00D8742C"/>
    <w:rsid w:val="00D878CE"/>
    <w:rsid w:val="00D91808"/>
    <w:rsid w:val="00D92642"/>
    <w:rsid w:val="00D9310E"/>
    <w:rsid w:val="00D95E69"/>
    <w:rsid w:val="00D96E82"/>
    <w:rsid w:val="00DA0A0D"/>
    <w:rsid w:val="00DA3EBA"/>
    <w:rsid w:val="00DA58D5"/>
    <w:rsid w:val="00DA627C"/>
    <w:rsid w:val="00DA65AA"/>
    <w:rsid w:val="00DB5596"/>
    <w:rsid w:val="00DB5EEB"/>
    <w:rsid w:val="00DB6151"/>
    <w:rsid w:val="00DD21DD"/>
    <w:rsid w:val="00DD4725"/>
    <w:rsid w:val="00DE396B"/>
    <w:rsid w:val="00DE4F15"/>
    <w:rsid w:val="00DF484E"/>
    <w:rsid w:val="00E01DC9"/>
    <w:rsid w:val="00E03A56"/>
    <w:rsid w:val="00E05AAC"/>
    <w:rsid w:val="00E06A4A"/>
    <w:rsid w:val="00E12844"/>
    <w:rsid w:val="00E21A28"/>
    <w:rsid w:val="00E27003"/>
    <w:rsid w:val="00E35DF7"/>
    <w:rsid w:val="00E372BF"/>
    <w:rsid w:val="00E464CF"/>
    <w:rsid w:val="00E468B5"/>
    <w:rsid w:val="00E46E6F"/>
    <w:rsid w:val="00E47490"/>
    <w:rsid w:val="00E56565"/>
    <w:rsid w:val="00E72950"/>
    <w:rsid w:val="00E76E0B"/>
    <w:rsid w:val="00E81719"/>
    <w:rsid w:val="00E81EAE"/>
    <w:rsid w:val="00E829BB"/>
    <w:rsid w:val="00E84BB3"/>
    <w:rsid w:val="00E97EA7"/>
    <w:rsid w:val="00EA1EDE"/>
    <w:rsid w:val="00EA4AD3"/>
    <w:rsid w:val="00EB130B"/>
    <w:rsid w:val="00EB24EA"/>
    <w:rsid w:val="00EB415B"/>
    <w:rsid w:val="00EB5DC0"/>
    <w:rsid w:val="00ED52D9"/>
    <w:rsid w:val="00EF0585"/>
    <w:rsid w:val="00F045F8"/>
    <w:rsid w:val="00F05B07"/>
    <w:rsid w:val="00F1197F"/>
    <w:rsid w:val="00F1257F"/>
    <w:rsid w:val="00F156ED"/>
    <w:rsid w:val="00F25A2F"/>
    <w:rsid w:val="00F62159"/>
    <w:rsid w:val="00F64939"/>
    <w:rsid w:val="00F85EE3"/>
    <w:rsid w:val="00F87D31"/>
    <w:rsid w:val="00FA4300"/>
    <w:rsid w:val="00FA570E"/>
    <w:rsid w:val="00FD25E9"/>
    <w:rsid w:val="00FD7FD4"/>
    <w:rsid w:val="00FE6F9A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2017-06-01T00:11:00Z</cp:lastPrinted>
  <dcterms:created xsi:type="dcterms:W3CDTF">2017-06-05T05:34:00Z</dcterms:created>
  <dcterms:modified xsi:type="dcterms:W3CDTF">2017-06-05T05:34:00Z</dcterms:modified>
</cp:coreProperties>
</file>