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93" w:rsidRPr="00C91637" w:rsidRDefault="00BE6193" w:rsidP="00BE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Потребительский рынок города Саянска в 2016 году</w:t>
      </w:r>
    </w:p>
    <w:p w:rsidR="00BE6193" w:rsidRPr="00C91637" w:rsidRDefault="00BE6193" w:rsidP="00BE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hAnsi="Times New Roman" w:cs="Times New Roman"/>
          <w:b/>
          <w:color w:val="000000"/>
          <w:sz w:val="26"/>
          <w:szCs w:val="26"/>
        </w:rPr>
        <w:t>Потребительский рынок</w:t>
      </w:r>
      <w:r w:rsidRPr="00C91637">
        <w:rPr>
          <w:rFonts w:ascii="Times New Roman" w:hAnsi="Times New Roman" w:cs="Times New Roman"/>
          <w:color w:val="000000"/>
          <w:sz w:val="26"/>
          <w:szCs w:val="26"/>
        </w:rPr>
        <w:t xml:space="preserve"> города решает комплекс задач, ориентированных на наиболее полное удовлетворение спроса населения на потребительские товары и услуги в широком ассортименте, по доступным ценам и в пределах территориальной доступности при гарантированном качестве.</w:t>
      </w:r>
    </w:p>
    <w:p w:rsidR="00682AB9" w:rsidRPr="00C91637" w:rsidRDefault="00682AB9" w:rsidP="00DB2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4B62">
        <w:rPr>
          <w:rFonts w:ascii="Times New Roman" w:hAnsi="Times New Roman" w:cs="Times New Roman"/>
          <w:color w:val="000000"/>
          <w:sz w:val="26"/>
          <w:szCs w:val="26"/>
        </w:rPr>
        <w:t xml:space="preserve">Потребительская сфера города объединяет около </w:t>
      </w:r>
      <w:r w:rsidR="004D4B62" w:rsidRPr="004D4B62">
        <w:rPr>
          <w:rFonts w:ascii="Times New Roman" w:hAnsi="Times New Roman" w:cs="Times New Roman"/>
          <w:color w:val="000000"/>
          <w:sz w:val="26"/>
          <w:szCs w:val="26"/>
        </w:rPr>
        <w:t>122</w:t>
      </w:r>
      <w:r w:rsidRPr="004D4B62">
        <w:rPr>
          <w:rFonts w:ascii="Times New Roman" w:hAnsi="Times New Roman" w:cs="Times New Roman"/>
          <w:color w:val="000000"/>
          <w:sz w:val="26"/>
          <w:szCs w:val="26"/>
        </w:rPr>
        <w:t xml:space="preserve"> юридических лиц и</w:t>
      </w:r>
      <w:r w:rsidR="00917F45" w:rsidRPr="004D4B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D4B62" w:rsidRPr="004D4B62">
        <w:rPr>
          <w:rFonts w:ascii="Times New Roman" w:hAnsi="Times New Roman" w:cs="Times New Roman"/>
          <w:color w:val="000000"/>
          <w:sz w:val="26"/>
          <w:szCs w:val="26"/>
        </w:rPr>
        <w:t>496</w:t>
      </w:r>
      <w:r w:rsidRPr="004D4B62">
        <w:rPr>
          <w:rFonts w:ascii="Times New Roman" w:hAnsi="Times New Roman" w:cs="Times New Roman"/>
          <w:color w:val="000000"/>
          <w:sz w:val="26"/>
          <w:szCs w:val="26"/>
        </w:rPr>
        <w:t xml:space="preserve"> индивидуальных предпринимателей из</w:t>
      </w:r>
      <w:r w:rsidR="00917F45" w:rsidRPr="004D4B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4B62">
        <w:rPr>
          <w:rFonts w:ascii="Times New Roman" w:hAnsi="Times New Roman" w:cs="Times New Roman"/>
          <w:color w:val="000000"/>
          <w:sz w:val="26"/>
          <w:szCs w:val="26"/>
        </w:rPr>
        <w:t>числа хозяйствующих субъектов.</w:t>
      </w:r>
    </w:p>
    <w:p w:rsidR="00BE6193" w:rsidRPr="00C91637" w:rsidRDefault="00BE6193" w:rsidP="00DB2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37">
        <w:rPr>
          <w:rFonts w:ascii="Times New Roman" w:hAnsi="Times New Roman" w:cs="Times New Roman"/>
          <w:color w:val="000000"/>
          <w:sz w:val="26"/>
          <w:szCs w:val="26"/>
        </w:rPr>
        <w:t xml:space="preserve">В создании комфортной потребительской среды для жителей города </w:t>
      </w:r>
      <w:r w:rsidR="0050651D" w:rsidRPr="00C91637">
        <w:rPr>
          <w:rFonts w:ascii="Times New Roman" w:hAnsi="Times New Roman" w:cs="Times New Roman"/>
          <w:color w:val="000000"/>
          <w:sz w:val="26"/>
          <w:szCs w:val="26"/>
        </w:rPr>
        <w:t xml:space="preserve">трудится </w:t>
      </w:r>
      <w:r w:rsidRPr="00C91637">
        <w:rPr>
          <w:rFonts w:ascii="Times New Roman" w:hAnsi="Times New Roman" w:cs="Times New Roman"/>
          <w:sz w:val="26"/>
          <w:szCs w:val="26"/>
        </w:rPr>
        <w:t>2</w:t>
      </w:r>
      <w:r w:rsidR="00DB2D5B" w:rsidRPr="00C91637">
        <w:rPr>
          <w:rFonts w:ascii="Times New Roman" w:hAnsi="Times New Roman" w:cs="Times New Roman"/>
          <w:sz w:val="26"/>
          <w:szCs w:val="26"/>
        </w:rPr>
        <w:t>525</w:t>
      </w:r>
      <w:r w:rsidRPr="00C9163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B2D5B" w:rsidRPr="00C91637">
        <w:rPr>
          <w:rFonts w:ascii="Times New Roman" w:hAnsi="Times New Roman" w:cs="Times New Roman"/>
          <w:sz w:val="26"/>
          <w:szCs w:val="26"/>
        </w:rPr>
        <w:t xml:space="preserve"> (2015г. – 2687)</w:t>
      </w:r>
      <w:r w:rsidRPr="00C91637">
        <w:rPr>
          <w:rFonts w:ascii="Times New Roman" w:hAnsi="Times New Roman" w:cs="Times New Roman"/>
          <w:sz w:val="26"/>
          <w:szCs w:val="26"/>
        </w:rPr>
        <w:t xml:space="preserve">, которые оказывают услуги </w:t>
      </w:r>
      <w:proofErr w:type="gramStart"/>
      <w:r w:rsidRPr="00C9163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91637">
        <w:rPr>
          <w:rFonts w:ascii="Times New Roman" w:hAnsi="Times New Roman" w:cs="Times New Roman"/>
          <w:sz w:val="26"/>
          <w:szCs w:val="26"/>
        </w:rPr>
        <w:t>:</w:t>
      </w:r>
    </w:p>
    <w:p w:rsidR="00DB2D5B" w:rsidRPr="00C91637" w:rsidRDefault="00DB2D5B" w:rsidP="00DB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- 134 предприятия</w:t>
      </w:r>
      <w:r w:rsidR="00CE48F5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розничной торговли торговой площадью - 48808,5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из них 48 объектов или 35,8 % - это продовольственные магазины товаров повседневного спроса, торговой площадью</w:t>
      </w:r>
      <w:r w:rsidR="00D0520C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3009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D0520C" w:rsidRPr="00C9163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C91637">
        <w:rPr>
          <w:rFonts w:ascii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hAnsi="Times New Roman" w:cs="Times New Roman"/>
          <w:sz w:val="26"/>
          <w:szCs w:val="26"/>
          <w:lang w:eastAsia="ru-RU"/>
        </w:rPr>
        <w:t>., располагающиеся в жилых домах, т.е. в радиусе пешеходной доступности;</w:t>
      </w:r>
      <w:proofErr w:type="gramEnd"/>
    </w:p>
    <w:p w:rsidR="00BE6193" w:rsidRPr="00C91637" w:rsidRDefault="00BE6193" w:rsidP="00D05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D0520C" w:rsidRPr="00C9163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CE48F5" w:rsidRPr="00C9163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D0520C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0520C" w:rsidRPr="00C91637">
        <w:rPr>
          <w:rFonts w:ascii="Times New Roman" w:hAnsi="Times New Roman" w:cs="Times New Roman"/>
          <w:sz w:val="26"/>
          <w:szCs w:val="26"/>
          <w:lang w:eastAsia="ru-RU"/>
        </w:rPr>
        <w:t>объект</w:t>
      </w:r>
      <w:r w:rsidR="00CE48F5" w:rsidRPr="00C91637">
        <w:rPr>
          <w:rFonts w:ascii="Times New Roman" w:hAnsi="Times New Roman" w:cs="Times New Roman"/>
          <w:sz w:val="26"/>
          <w:szCs w:val="26"/>
          <w:lang w:eastAsia="ru-RU"/>
        </w:rPr>
        <w:t>е</w:t>
      </w:r>
      <w:proofErr w:type="gramEnd"/>
      <w:r w:rsidR="00D0520C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общественного питания на 3602 посадочных места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>, из них 2</w:t>
      </w:r>
      <w:r w:rsidR="00CE48F5" w:rsidRPr="00C91637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 ед. или </w:t>
      </w:r>
      <w:r w:rsidR="00CE48F5" w:rsidRPr="00C91637">
        <w:rPr>
          <w:rFonts w:ascii="Times New Roman" w:hAnsi="Times New Roman" w:cs="Times New Roman"/>
          <w:sz w:val="26"/>
          <w:szCs w:val="26"/>
          <w:lang w:eastAsia="ru-RU"/>
        </w:rPr>
        <w:t>54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CE48F5" w:rsidRPr="00C91637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 % – объекты общедоступной сети на </w:t>
      </w:r>
      <w:r w:rsidR="00CE48F5" w:rsidRPr="00C91637">
        <w:rPr>
          <w:rFonts w:ascii="Times New Roman" w:hAnsi="Times New Roman" w:cs="Times New Roman"/>
          <w:sz w:val="26"/>
          <w:szCs w:val="26"/>
          <w:lang w:eastAsia="ru-RU"/>
        </w:rPr>
        <w:t>912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посадочных мест;</w:t>
      </w:r>
    </w:p>
    <w:p w:rsidR="00BE6193" w:rsidRPr="00BE6193" w:rsidRDefault="00BE6193" w:rsidP="00C73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637">
        <w:rPr>
          <w:rFonts w:ascii="Times New Roman" w:hAnsi="Times New Roman" w:cs="Times New Roman"/>
          <w:sz w:val="26"/>
          <w:szCs w:val="26"/>
          <w:lang w:eastAsia="ru-RU"/>
        </w:rPr>
        <w:t>- 1</w:t>
      </w:r>
      <w:r w:rsidR="00CE48F5" w:rsidRPr="00C91637">
        <w:rPr>
          <w:rFonts w:ascii="Times New Roman" w:hAnsi="Times New Roman" w:cs="Times New Roman"/>
          <w:sz w:val="26"/>
          <w:szCs w:val="26"/>
          <w:lang w:eastAsia="ru-RU"/>
        </w:rPr>
        <w:t>62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91637">
        <w:rPr>
          <w:rFonts w:ascii="Times New Roman" w:hAnsi="Times New Roman" w:cs="Times New Roman"/>
          <w:sz w:val="26"/>
          <w:szCs w:val="26"/>
          <w:lang w:eastAsia="ru-RU"/>
        </w:rPr>
        <w:t>объектах</w:t>
      </w:r>
      <w:proofErr w:type="gramEnd"/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бытовых услуг на </w:t>
      </w:r>
      <w:r w:rsidRPr="00C91637">
        <w:rPr>
          <w:rFonts w:ascii="Times New Roman" w:hAnsi="Times New Roman" w:cs="Times New Roman"/>
          <w:sz w:val="26"/>
          <w:szCs w:val="26"/>
        </w:rPr>
        <w:t>51</w:t>
      </w:r>
      <w:r w:rsidR="00CE48F5" w:rsidRPr="00C91637">
        <w:rPr>
          <w:rFonts w:ascii="Times New Roman" w:hAnsi="Times New Roman" w:cs="Times New Roman"/>
          <w:sz w:val="26"/>
          <w:szCs w:val="26"/>
        </w:rPr>
        <w:t>0</w:t>
      </w:r>
      <w:r w:rsidRPr="00C91637">
        <w:rPr>
          <w:rFonts w:ascii="Times New Roman" w:hAnsi="Times New Roman" w:cs="Times New Roman"/>
          <w:sz w:val="26"/>
          <w:szCs w:val="26"/>
        </w:rPr>
        <w:t xml:space="preserve"> рабочих мест</w:t>
      </w:r>
      <w:r w:rsidRPr="00BE6193">
        <w:rPr>
          <w:rFonts w:ascii="Times New Roman" w:hAnsi="Times New Roman" w:cs="Times New Roman"/>
          <w:sz w:val="28"/>
          <w:szCs w:val="28"/>
        </w:rPr>
        <w:t>.</w:t>
      </w:r>
    </w:p>
    <w:p w:rsidR="00136EFC" w:rsidRPr="00136EFC" w:rsidRDefault="008C728F" w:rsidP="00136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A71A6E" wp14:editId="7AADD3B6">
            <wp:extent cx="4572000" cy="2260756"/>
            <wp:effectExtent l="0" t="0" r="0" b="6350"/>
            <wp:docPr id="1" name="Диаграмма 1" title="Структура предприятий потребительского рын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6193" w:rsidRPr="00C91637" w:rsidRDefault="00BE6193" w:rsidP="00136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Розничная торговля</w:t>
      </w:r>
    </w:p>
    <w:p w:rsidR="00433207" w:rsidRPr="00C91637" w:rsidRDefault="00BE6193" w:rsidP="0043320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Ведущая роль в удовлетворении покупательского спроса принадлежит торговле.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предварительной оценке оборот розничной торговли в январе-декабре 201</w:t>
      </w:r>
      <w:r w:rsidR="00C73E4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3 </w:t>
      </w:r>
      <w:r w:rsidR="00FA295D">
        <w:rPr>
          <w:rFonts w:ascii="Times New Roman" w:eastAsia="Times New Roman" w:hAnsi="Times New Roman" w:cs="Times New Roman"/>
          <w:sz w:val="26"/>
          <w:szCs w:val="26"/>
          <w:lang w:eastAsia="ru-RU"/>
        </w:rPr>
        <w:t>776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A295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</w:t>
      </w:r>
      <w:r w:rsidR="00375F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20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увеличившись в сравнении с аналогичным периодом прошлого года на </w:t>
      </w:r>
      <w:r w:rsidR="00FA295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3320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,4%.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расчете на душу населения </w:t>
      </w:r>
      <w:r w:rsidR="0043320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  <w:r w:rsidR="0043320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ляет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FA295D">
        <w:rPr>
          <w:rFonts w:ascii="Times New Roman" w:eastAsia="Times New Roman" w:hAnsi="Times New Roman" w:cs="Times New Roman"/>
          <w:sz w:val="26"/>
          <w:szCs w:val="26"/>
          <w:lang w:eastAsia="ru-RU"/>
        </w:rPr>
        <w:t>078,9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 (в 201</w:t>
      </w:r>
      <w:r w:rsidR="0043320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43320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FA295D">
        <w:rPr>
          <w:rFonts w:ascii="Times New Roman" w:eastAsia="Times New Roman" w:hAnsi="Times New Roman" w:cs="Times New Roman"/>
          <w:sz w:val="26"/>
          <w:szCs w:val="26"/>
          <w:lang w:eastAsia="ru-RU"/>
        </w:rPr>
        <w:t>059</w:t>
      </w:r>
      <w:r w:rsidR="0043320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,4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4693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./мес.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A295D">
        <w:rPr>
          <w:rFonts w:ascii="Times New Roman" w:eastAsia="Calibri" w:hAnsi="Times New Roman" w:cs="Times New Roman"/>
          <w:sz w:val="26"/>
          <w:szCs w:val="26"/>
          <w:lang w:eastAsia="ru-RU"/>
        </w:rPr>
        <w:t>В рейтинге 42 муниципальных образований Иркутской области</w:t>
      </w:r>
      <w:r w:rsidR="00136E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данному показателю Саянск занимает 12 место.</w:t>
      </w:r>
    </w:p>
    <w:p w:rsidR="00BE6193" w:rsidRPr="00C91637" w:rsidRDefault="00BE6193" w:rsidP="00BE61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637">
        <w:rPr>
          <w:rFonts w:ascii="Times New Roman" w:hAnsi="Times New Roman" w:cs="Times New Roman"/>
          <w:b/>
        </w:rPr>
        <w:t>Оборот розничной торговли за 201</w:t>
      </w:r>
      <w:r w:rsidR="00433207" w:rsidRPr="00C91637">
        <w:rPr>
          <w:rFonts w:ascii="Times New Roman" w:hAnsi="Times New Roman" w:cs="Times New Roman"/>
          <w:b/>
        </w:rPr>
        <w:t>4</w:t>
      </w:r>
      <w:r w:rsidRPr="00C91637">
        <w:rPr>
          <w:rFonts w:ascii="Times New Roman" w:hAnsi="Times New Roman" w:cs="Times New Roman"/>
          <w:b/>
        </w:rPr>
        <w:t>-201</w:t>
      </w:r>
      <w:r w:rsidR="00433207" w:rsidRPr="00C91637">
        <w:rPr>
          <w:rFonts w:ascii="Times New Roman" w:hAnsi="Times New Roman" w:cs="Times New Roman"/>
          <w:b/>
        </w:rPr>
        <w:t>6</w:t>
      </w:r>
      <w:r w:rsidRPr="00C91637">
        <w:rPr>
          <w:rFonts w:ascii="Times New Roman" w:hAnsi="Times New Roman" w:cs="Times New Roman"/>
          <w:b/>
        </w:rPr>
        <w:t xml:space="preserve"> </w:t>
      </w:r>
      <w:proofErr w:type="spellStart"/>
      <w:r w:rsidRPr="00C91637">
        <w:rPr>
          <w:rFonts w:ascii="Times New Roman" w:hAnsi="Times New Roman" w:cs="Times New Roman"/>
          <w:b/>
        </w:rPr>
        <w:t>г.</w:t>
      </w:r>
      <w:proofErr w:type="gramStart"/>
      <w:r w:rsidRPr="00C91637">
        <w:rPr>
          <w:rFonts w:ascii="Times New Roman" w:hAnsi="Times New Roman" w:cs="Times New Roman"/>
          <w:b/>
        </w:rPr>
        <w:t>г</w:t>
      </w:r>
      <w:proofErr w:type="spellEnd"/>
      <w:proofErr w:type="gramEnd"/>
      <w:r w:rsidRPr="00C91637">
        <w:rPr>
          <w:rFonts w:ascii="Times New Roman" w:hAnsi="Times New Roman" w:cs="Times New Roman"/>
          <w:b/>
        </w:rPr>
        <w:t>.</w:t>
      </w:r>
    </w:p>
    <w:p w:rsidR="00BE6193" w:rsidRPr="00C91637" w:rsidRDefault="00BE6193" w:rsidP="00BE61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637">
        <w:rPr>
          <w:rFonts w:ascii="Times New Roman" w:hAnsi="Times New Roman" w:cs="Times New Roman"/>
          <w:b/>
        </w:rPr>
        <w:t>(млрд. руб.)</w:t>
      </w:r>
    </w:p>
    <w:p w:rsidR="00BE6193" w:rsidRPr="00136EFC" w:rsidRDefault="00FA295D" w:rsidP="00433207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C3F94FE" wp14:editId="77A89355">
            <wp:extent cx="3865163" cy="1845630"/>
            <wp:effectExtent l="0" t="0" r="2540" b="25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6193" w:rsidRPr="00C91637" w:rsidRDefault="00BE6193" w:rsidP="00BE61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Существующая структура розничной торговли города включает в себя:</w:t>
      </w:r>
    </w:p>
    <w:p w:rsidR="00BE6193" w:rsidRPr="00C91637" w:rsidRDefault="00BE6193" w:rsidP="00BE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- 2 торгово-развлекательных центра, торговой площадью 12522,9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в том числе продовольственной – 1881,2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непродовольственной – 10641,7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  <w:proofErr w:type="gramEnd"/>
    </w:p>
    <w:p w:rsidR="00BE6193" w:rsidRPr="00C91637" w:rsidRDefault="00BE6193" w:rsidP="00BE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- 19 торговых комплексов, торговой площадью 2</w:t>
      </w:r>
      <w:r w:rsidR="00863599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2213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63599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., в том числе: продовольственной –</w:t>
      </w:r>
      <w:r w:rsidR="00462095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5475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2095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 и непродовольственной – 1</w:t>
      </w:r>
      <w:r w:rsidR="00620462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62095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738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  <w:proofErr w:type="gramEnd"/>
    </w:p>
    <w:p w:rsidR="002E036D" w:rsidRPr="00C91637" w:rsidRDefault="002E036D" w:rsidP="00BE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80587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дискаунтера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торговой площадью</w:t>
      </w:r>
      <w:r w:rsidR="005813F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4B30B9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D08D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431</w:t>
      </w:r>
      <w:r w:rsidR="004B30B9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,9 </w:t>
      </w:r>
      <w:proofErr w:type="spellStart"/>
      <w:r w:rsidR="004B30B9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4B30B9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BE6193" w:rsidRPr="00C91637" w:rsidRDefault="00BE6193" w:rsidP="00BE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4B30B9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универсальных магазин</w:t>
      </w:r>
      <w:r w:rsidR="004B30B9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торговой площадью </w:t>
      </w:r>
      <w:r w:rsidR="00DA3F28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2540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,1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в том числе: продовольственной – </w:t>
      </w:r>
      <w:r w:rsidR="00D2540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702</w:t>
      </w:r>
      <w:r w:rsidR="00AD08D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 и непродовольственной –</w:t>
      </w:r>
      <w:r w:rsidR="00AD08D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49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D08D7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  <w:proofErr w:type="gramEnd"/>
    </w:p>
    <w:p w:rsidR="00462095" w:rsidRPr="00C91637" w:rsidRDefault="00462095" w:rsidP="0046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- 48 продовольственных магазинов, торговой площадью 3291,5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BE6193" w:rsidRPr="00C91637" w:rsidRDefault="00BE6193" w:rsidP="00BE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- 4</w:t>
      </w:r>
      <w:r w:rsidR="00462095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непродовольственных магазинов, торговой площадью 7</w:t>
      </w:r>
      <w:r w:rsidR="00462095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494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2095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BE6193" w:rsidRPr="00C91637" w:rsidRDefault="00BE6193" w:rsidP="00BE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796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796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непродовольственных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павильонов, торговой площадью 1</w:t>
      </w:r>
      <w:r w:rsidR="00EA796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A796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BE6193" w:rsidRPr="00C91637" w:rsidRDefault="00BE6193" w:rsidP="00BE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796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киосков.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Торговая площадь 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стационарных торговых объектов 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за 201</w:t>
      </w:r>
      <w:r w:rsidR="00EA7964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возросла на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1,04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 % и составила 48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808,5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., в том числе: по продовольственным товарам – на 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 % (1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3102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), по непродовольственным – на 0,3% 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(35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706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.).</w:t>
      </w:r>
      <w:proofErr w:type="gramEnd"/>
    </w:p>
    <w:p w:rsidR="007B6947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Фактическая обеспеченность населения площадью 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стаци</w:t>
      </w:r>
      <w:r w:rsidR="00375F5D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нарных 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торговых объектов составляет 125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,9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1 тыс. человек и превышает минимальный норматив в 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(норматив - 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447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. на 1 тыс. человек), в том числе: по продовольственным товарам фактическая обеспеченность составляет 3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36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. на 1 тыс. человек, что в 2,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превышает минимальный норматив (1</w:t>
      </w:r>
      <w:r w:rsidR="00E42DC6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47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. на 1 тыс. человек</w:t>
      </w:r>
      <w:proofErr w:type="gram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), </w:t>
      </w:r>
      <w:proofErr w:type="gram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proofErr w:type="gram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непродовольственными</w:t>
      </w:r>
      <w:proofErr w:type="gram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товарами 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916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,6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., что в 3,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превышает минимальный норматив (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300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1 тыс. человек). Для справки: фактическая обеспеченность населения площадью 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стационарных 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торговых объектов в Иркутской области составляет 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910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1 тыс. человек и превышает минимальный норматив </w:t>
      </w:r>
      <w:r w:rsidR="007B6947"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в 1,8 раза.</w:t>
      </w:r>
    </w:p>
    <w:p w:rsidR="00BE6193" w:rsidRPr="00C91637" w:rsidRDefault="007B6947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637">
        <w:rPr>
          <w:rFonts w:ascii="Times New Roman" w:eastAsia="Times New Roman" w:hAnsi="Times New Roman" w:cs="Times New Roman"/>
          <w:sz w:val="26"/>
          <w:szCs w:val="26"/>
        </w:rPr>
        <w:t xml:space="preserve">Во взаимодействии с </w:t>
      </w:r>
      <w:proofErr w:type="gramStart"/>
      <w:r w:rsidRPr="00C91637">
        <w:rPr>
          <w:rFonts w:ascii="Times New Roman" w:eastAsia="Times New Roman" w:hAnsi="Times New Roman" w:cs="Times New Roman"/>
          <w:sz w:val="26"/>
          <w:szCs w:val="26"/>
        </w:rPr>
        <w:t>бизнес-сообществом</w:t>
      </w:r>
      <w:proofErr w:type="gramEnd"/>
      <w:r w:rsidRPr="00C9163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муниципальным образованием проводилась работа по развитию инфраструктуры потребительского рынка и повышению конкуренции. Учитывая непростую экономическую ситуацию и ограниченность покупательской способности </w:t>
      </w:r>
      <w:r w:rsidR="000F52AB" w:rsidRPr="00C91637">
        <w:rPr>
          <w:rFonts w:ascii="Times New Roman" w:eastAsia="Times New Roman" w:hAnsi="Times New Roman" w:cs="Times New Roman"/>
          <w:sz w:val="26"/>
          <w:szCs w:val="26"/>
        </w:rPr>
        <w:t>населения, в</w:t>
      </w:r>
      <w:r w:rsidR="00BE6193" w:rsidRPr="00C91637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>6</w:t>
      </w:r>
      <w:r w:rsidR="00BE6193" w:rsidRPr="00C91637">
        <w:rPr>
          <w:rFonts w:ascii="Times New Roman" w:eastAsia="Times New Roman" w:hAnsi="Times New Roman" w:cs="Times New Roman"/>
          <w:sz w:val="26"/>
          <w:szCs w:val="26"/>
        </w:rPr>
        <w:t xml:space="preserve"> году получили </w:t>
      </w:r>
      <w:r w:rsidR="000F52AB" w:rsidRPr="00C91637">
        <w:rPr>
          <w:rFonts w:ascii="Times New Roman" w:eastAsia="Times New Roman" w:hAnsi="Times New Roman" w:cs="Times New Roman"/>
          <w:sz w:val="26"/>
          <w:szCs w:val="26"/>
        </w:rPr>
        <w:t xml:space="preserve">дальнейшее </w:t>
      </w:r>
      <w:r w:rsidR="00BE6193" w:rsidRPr="00C91637">
        <w:rPr>
          <w:rFonts w:ascii="Times New Roman" w:eastAsia="Times New Roman" w:hAnsi="Times New Roman" w:cs="Times New Roman"/>
          <w:sz w:val="26"/>
          <w:szCs w:val="26"/>
        </w:rPr>
        <w:t xml:space="preserve">развитие </w:t>
      </w:r>
      <w:r w:rsidR="000F52AB" w:rsidRPr="00C91637">
        <w:rPr>
          <w:rFonts w:ascii="Times New Roman" w:eastAsia="Times New Roman" w:hAnsi="Times New Roman" w:cs="Times New Roman"/>
          <w:sz w:val="26"/>
          <w:szCs w:val="26"/>
        </w:rPr>
        <w:t>магазины</w:t>
      </w:r>
      <w:r w:rsidR="00F85501" w:rsidRPr="00C91637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="000F52AB" w:rsidRPr="00C91637">
        <w:rPr>
          <w:rFonts w:ascii="Times New Roman" w:eastAsia="Times New Roman" w:hAnsi="Times New Roman" w:cs="Times New Roman"/>
          <w:sz w:val="26"/>
          <w:szCs w:val="26"/>
        </w:rPr>
        <w:t>дискаунтеры</w:t>
      </w:r>
      <w:proofErr w:type="spellEnd"/>
      <w:r w:rsidR="000F52AB" w:rsidRPr="00C91637">
        <w:rPr>
          <w:rFonts w:ascii="Times New Roman" w:eastAsia="Times New Roman" w:hAnsi="Times New Roman" w:cs="Times New Roman"/>
          <w:sz w:val="26"/>
          <w:szCs w:val="26"/>
        </w:rPr>
        <w:t xml:space="preserve"> «Хлеб Соль» (региональной торговой сети</w:t>
      </w:r>
      <w:r w:rsidR="00F85501" w:rsidRPr="00C91637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="00F85501" w:rsidRPr="00C91637">
        <w:rPr>
          <w:rFonts w:ascii="Times New Roman" w:eastAsia="Times New Roman" w:hAnsi="Times New Roman" w:cs="Times New Roman"/>
          <w:sz w:val="26"/>
          <w:szCs w:val="26"/>
        </w:rPr>
        <w:t>Слата</w:t>
      </w:r>
      <w:proofErr w:type="spellEnd"/>
      <w:r w:rsidR="00F85501" w:rsidRPr="00C91637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F52AB" w:rsidRPr="00C91637">
        <w:rPr>
          <w:rFonts w:ascii="Times New Roman" w:eastAsia="Times New Roman" w:hAnsi="Times New Roman" w:cs="Times New Roman"/>
          <w:sz w:val="26"/>
          <w:szCs w:val="26"/>
        </w:rPr>
        <w:t>), «Хороший» (Красноярской торговой сети «Командор»), в которых розничные цены на отдельные продовольственные товары ниже, чем в магазинах местного значения. Открылся супермаркет «</w:t>
      </w:r>
      <w:proofErr w:type="spellStart"/>
      <w:r w:rsidR="000F52AB" w:rsidRPr="00C91637">
        <w:rPr>
          <w:rFonts w:ascii="Times New Roman" w:eastAsia="Times New Roman" w:hAnsi="Times New Roman" w:cs="Times New Roman"/>
          <w:sz w:val="26"/>
          <w:szCs w:val="26"/>
        </w:rPr>
        <w:t>Слата</w:t>
      </w:r>
      <w:proofErr w:type="spellEnd"/>
      <w:r w:rsidR="000F52AB" w:rsidRPr="00C91637">
        <w:rPr>
          <w:rFonts w:ascii="Times New Roman" w:eastAsia="Times New Roman" w:hAnsi="Times New Roman" w:cs="Times New Roman"/>
          <w:sz w:val="26"/>
          <w:szCs w:val="26"/>
        </w:rPr>
        <w:t>» крупнейшей региональной торговой сети.</w:t>
      </w:r>
    </w:p>
    <w:p w:rsidR="000F52AB" w:rsidRPr="00C91637" w:rsidRDefault="000F52AB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</w:rPr>
        <w:t>Многоформатность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</w:rPr>
        <w:t xml:space="preserve"> торговли и высокий у</w:t>
      </w:r>
      <w:bookmarkStart w:id="0" w:name="_GoBack"/>
      <w:bookmarkEnd w:id="0"/>
      <w:r w:rsidRPr="00C91637">
        <w:rPr>
          <w:rFonts w:ascii="Times New Roman" w:eastAsia="Times New Roman" w:hAnsi="Times New Roman" w:cs="Times New Roman"/>
          <w:sz w:val="26"/>
          <w:szCs w:val="26"/>
        </w:rPr>
        <w:t>ровень конкуренции между торговыми организациями препятству</w:t>
      </w:r>
      <w:r w:rsidR="00EA295F" w:rsidRPr="00C9163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>т необоснованному росту цен на потребительском рынке города.</w:t>
      </w:r>
    </w:p>
    <w:p w:rsidR="00F85501" w:rsidRPr="00C91637" w:rsidRDefault="00590308" w:rsidP="00BE6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  <w:lang w:eastAsia="ru-RU"/>
        </w:rPr>
      </w:pPr>
      <w:proofErr w:type="gramStart"/>
      <w:r w:rsidRPr="00C91637">
        <w:rPr>
          <w:rFonts w:ascii="Times New Roman" w:hAnsi="Times New Roman" w:cs="Times New Roman"/>
          <w:sz w:val="26"/>
          <w:szCs w:val="26"/>
        </w:rPr>
        <w:t>В формировании потребительского спроса на продовольственные товары местного и регионального производства оказывает влияние наличие широкой торговой сети товаропроизводителей из 79 объектов как собственных, так и работающих по принципу франчайзинга,</w:t>
      </w:r>
      <w:r w:rsidRPr="00C91637">
        <w:rPr>
          <w:rFonts w:ascii="Times New Roman" w:hAnsi="Times New Roman" w:cs="Times New Roman"/>
          <w:color w:val="000000"/>
          <w:sz w:val="26"/>
          <w:szCs w:val="26"/>
        </w:rPr>
        <w:t xml:space="preserve"> развитие которой позволяет населению приобретать широкий ассортимент качественных товаров по доступным ценам агрохолдинга «Саянский бройлер», СПК «</w:t>
      </w:r>
      <w:proofErr w:type="spellStart"/>
      <w:r w:rsidRPr="00C91637">
        <w:rPr>
          <w:rFonts w:ascii="Times New Roman" w:hAnsi="Times New Roman" w:cs="Times New Roman"/>
          <w:color w:val="000000"/>
          <w:sz w:val="26"/>
          <w:szCs w:val="26"/>
        </w:rPr>
        <w:t>Окинский</w:t>
      </w:r>
      <w:proofErr w:type="spellEnd"/>
      <w:r w:rsidRPr="00C91637">
        <w:rPr>
          <w:rFonts w:ascii="Times New Roman" w:hAnsi="Times New Roman" w:cs="Times New Roman"/>
          <w:color w:val="000000"/>
          <w:sz w:val="26"/>
          <w:szCs w:val="26"/>
        </w:rPr>
        <w:t>», представительства СХОАО «</w:t>
      </w:r>
      <w:proofErr w:type="spellStart"/>
      <w:r w:rsidRPr="00C91637">
        <w:rPr>
          <w:rFonts w:ascii="Times New Roman" w:hAnsi="Times New Roman" w:cs="Times New Roman"/>
          <w:color w:val="000000"/>
          <w:sz w:val="26"/>
          <w:szCs w:val="26"/>
        </w:rPr>
        <w:t>Белореченское</w:t>
      </w:r>
      <w:proofErr w:type="spellEnd"/>
      <w:r w:rsidRPr="00C91637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proofErr w:type="spellStart"/>
      <w:r w:rsidRPr="00C91637">
        <w:rPr>
          <w:rFonts w:ascii="Times New Roman" w:hAnsi="Times New Roman" w:cs="Times New Roman"/>
          <w:color w:val="000000"/>
          <w:sz w:val="26"/>
          <w:szCs w:val="26"/>
        </w:rPr>
        <w:t>Зиминского</w:t>
      </w:r>
      <w:proofErr w:type="spellEnd"/>
      <w:r w:rsidRPr="00C91637">
        <w:rPr>
          <w:rFonts w:ascii="Times New Roman" w:hAnsi="Times New Roman" w:cs="Times New Roman"/>
          <w:color w:val="000000"/>
          <w:sz w:val="26"/>
          <w:szCs w:val="26"/>
        </w:rPr>
        <w:t xml:space="preserve"> хлебозавода, Сибирского пекаря (г. Черемхово), Саянского хлеба, КФХ «</w:t>
      </w:r>
      <w:proofErr w:type="spellStart"/>
      <w:r w:rsidRPr="00C91637">
        <w:rPr>
          <w:rFonts w:ascii="Times New Roman" w:hAnsi="Times New Roman" w:cs="Times New Roman"/>
          <w:color w:val="000000"/>
          <w:sz w:val="26"/>
          <w:szCs w:val="26"/>
        </w:rPr>
        <w:t>Нукутского</w:t>
      </w:r>
      <w:proofErr w:type="spellEnd"/>
      <w:r w:rsidRPr="00C91637">
        <w:rPr>
          <w:rFonts w:ascii="Times New Roman" w:hAnsi="Times New Roman" w:cs="Times New Roman"/>
          <w:color w:val="000000"/>
          <w:sz w:val="26"/>
          <w:szCs w:val="26"/>
        </w:rPr>
        <w:t xml:space="preserve"> района</w:t>
      </w:r>
      <w:proofErr w:type="gramEnd"/>
      <w:r w:rsidRPr="00C91637">
        <w:rPr>
          <w:rFonts w:ascii="Times New Roman" w:hAnsi="Times New Roman" w:cs="Times New Roman"/>
          <w:color w:val="000000"/>
          <w:sz w:val="26"/>
          <w:szCs w:val="26"/>
        </w:rPr>
        <w:t>» - «Спектр» и «Приморский» и др.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91637">
        <w:rPr>
          <w:rFonts w:ascii="Times New Roman" w:hAnsi="Times New Roman" w:cs="Times New Roman"/>
          <w:sz w:val="26"/>
          <w:szCs w:val="26"/>
        </w:rPr>
        <w:t xml:space="preserve"> В 2016 году торговая сеть товаропроизводителей сократилась на 7,1 % (в 2015г. </w:t>
      </w:r>
      <w:r w:rsidR="00375F5D">
        <w:rPr>
          <w:rFonts w:ascii="Times New Roman" w:hAnsi="Times New Roman" w:cs="Times New Roman"/>
          <w:sz w:val="26"/>
          <w:szCs w:val="26"/>
        </w:rPr>
        <w:t>-</w:t>
      </w:r>
      <w:r w:rsidRPr="00C91637">
        <w:rPr>
          <w:rFonts w:ascii="Times New Roman" w:hAnsi="Times New Roman" w:cs="Times New Roman"/>
          <w:sz w:val="26"/>
          <w:szCs w:val="26"/>
        </w:rPr>
        <w:t xml:space="preserve"> 85 объектов).</w:t>
      </w:r>
    </w:p>
    <w:p w:rsidR="001320D1" w:rsidRPr="00C91637" w:rsidRDefault="000637F2" w:rsidP="0013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Продолжают у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спешно работа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>ть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муниципального образования торговые сети по продаже непродовольственных товаров: </w:t>
      </w:r>
      <w:proofErr w:type="gramStart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Глория Джинс - детская одежда, </w:t>
      </w:r>
      <w:proofErr w:type="spellStart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Юничел</w:t>
      </w:r>
      <w:proofErr w:type="spellEnd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- обувь, Кари </w:t>
      </w:r>
      <w:proofErr w:type="spellStart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Кидс</w:t>
      </w:r>
      <w:proofErr w:type="spellEnd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, Любимые дети</w:t>
      </w:r>
      <w:r w:rsidR="00E332AF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332AF" w:rsidRPr="00C91637">
        <w:rPr>
          <w:rFonts w:ascii="Times New Roman" w:hAnsi="Times New Roman" w:cs="Times New Roman"/>
          <w:sz w:val="26"/>
          <w:szCs w:val="26"/>
          <w:lang w:eastAsia="ru-RU"/>
        </w:rPr>
        <w:t>Бегемотик</w:t>
      </w:r>
      <w:proofErr w:type="spellEnd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- детские товары, Крем - парфюмерно-косметические товары, </w:t>
      </w:r>
      <w:proofErr w:type="spellStart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Позитроника</w:t>
      </w:r>
      <w:proofErr w:type="spellEnd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1320D1" w:rsidRPr="00C91637">
        <w:rPr>
          <w:rFonts w:ascii="Times New Roman" w:hAnsi="Times New Roman" w:cs="Times New Roman"/>
          <w:sz w:val="26"/>
          <w:szCs w:val="26"/>
          <w:lang w:val="en-US" w:eastAsia="ru-RU"/>
        </w:rPr>
        <w:t>DNS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– компьютеры и офисная техника, Сеть техники (г. Усолье-Сибирское), торговая сеть Эй-Би (г.</w:t>
      </w:r>
      <w:r w:rsidR="00375F5D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Черемхово) - бытовая техника</w:t>
      </w:r>
      <w:r w:rsidR="00E332AF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и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мебель, Евросеть-Ритейл (г. Новосибирск), Связной-Логистика (г. Москва), Билайн, Мегафон-Ритейл (г. Москва) - сотовые телефоны и аксессуары, Евро-Стиль (г. Ангарск) – мебель, </w:t>
      </w:r>
      <w:proofErr w:type="spellStart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ПродалитЪ</w:t>
      </w:r>
      <w:proofErr w:type="spellEnd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(г.</w:t>
      </w:r>
      <w:r w:rsidR="008A20EF" w:rsidRPr="00C9163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Усолье-Сибирское) – книги и канцтовары, Эконом</w:t>
      </w:r>
      <w:proofErr w:type="gramEnd"/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, Оазис</w:t>
      </w:r>
      <w:r w:rsidR="008A20EF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A295F" w:rsidRPr="00C91637">
        <w:rPr>
          <w:rFonts w:ascii="Times New Roman" w:hAnsi="Times New Roman" w:cs="Times New Roman"/>
          <w:sz w:val="26"/>
          <w:szCs w:val="26"/>
          <w:lang w:eastAsia="ru-RU"/>
        </w:rPr>
        <w:t>(г. Новосибирск)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, Виктория (г. </w:t>
      </w:r>
      <w:r w:rsidR="00EA295F" w:rsidRPr="00C91637">
        <w:rPr>
          <w:rFonts w:ascii="Times New Roman" w:hAnsi="Times New Roman" w:cs="Times New Roman"/>
          <w:sz w:val="26"/>
          <w:szCs w:val="26"/>
          <w:lang w:eastAsia="ru-RU"/>
        </w:rPr>
        <w:t>Челябинск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) – одежда</w:t>
      </w:r>
      <w:r w:rsidR="00EA295F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для всей семьи</w:t>
      </w:r>
      <w:r w:rsidR="001320D1" w:rsidRPr="00C9163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320D1" w:rsidRPr="00C91637" w:rsidRDefault="000637F2" w:rsidP="00BE6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hAnsi="Times New Roman" w:cs="Times New Roman"/>
          <w:sz w:val="26"/>
          <w:szCs w:val="26"/>
          <w:lang w:eastAsia="ru-RU"/>
        </w:rPr>
        <w:t>В связи со снижением покупательского спроса в условиях сложившейся экономической ситуации закрылись магазины: «Кари» - обувь, «Снежный барс» - компьютеры и офисная техника, мебельных фабрик «</w:t>
      </w:r>
      <w:proofErr w:type="spellStart"/>
      <w:r w:rsidRPr="00C91637">
        <w:rPr>
          <w:rFonts w:ascii="Times New Roman" w:hAnsi="Times New Roman" w:cs="Times New Roman"/>
          <w:sz w:val="26"/>
          <w:szCs w:val="26"/>
          <w:lang w:eastAsia="ru-RU"/>
        </w:rPr>
        <w:t>Ивушка</w:t>
      </w:r>
      <w:proofErr w:type="spellEnd"/>
      <w:r w:rsidRPr="00C91637">
        <w:rPr>
          <w:rFonts w:ascii="Times New Roman" w:hAnsi="Times New Roman" w:cs="Times New Roman"/>
          <w:sz w:val="26"/>
          <w:szCs w:val="26"/>
          <w:lang w:eastAsia="ru-RU"/>
        </w:rPr>
        <w:t>», «Грация».</w:t>
      </w:r>
    </w:p>
    <w:p w:rsidR="00063781" w:rsidRPr="00C91637" w:rsidRDefault="00063781" w:rsidP="00BE6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</w:t>
      </w:r>
      <w:proofErr w:type="gramStart"/>
      <w:r w:rsidRPr="00C91637">
        <w:rPr>
          <w:rFonts w:ascii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 ценовой ситуацией на потребительском рынке города </w:t>
      </w:r>
      <w:r w:rsidR="00D67666"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и содействия ее стабилизации в рамках установленных полномочий 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осуществлялось информационно-аналитическое наблюдение </w:t>
      </w:r>
      <w:r w:rsidR="00D67666" w:rsidRPr="00C91637">
        <w:rPr>
          <w:rFonts w:ascii="Times New Roman" w:hAnsi="Times New Roman" w:cs="Times New Roman"/>
          <w:sz w:val="26"/>
          <w:szCs w:val="26"/>
          <w:lang w:eastAsia="ru-RU"/>
        </w:rPr>
        <w:t>за состоянием продовольственного рынка муниципального образования. В рамках реализации Указов Президента России, направленных на обеспечение продовольственной безопасности,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 из 40 продовольственных товаров.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смягчения последствий инфляции и обеспечения доступности цен для </w:t>
      </w:r>
      <w:r w:rsidRPr="00C91637">
        <w:rPr>
          <w:rFonts w:ascii="Times New Roman" w:hAnsi="Times New Roman" w:cs="Times New Roman"/>
          <w:sz w:val="26"/>
          <w:szCs w:val="26"/>
        </w:rPr>
        <w:t xml:space="preserve">социально-незащищенных групп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населения в предприятиях розничной торговли </w:t>
      </w:r>
      <w:r w:rsidRPr="00C9163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еализуются социальные проекты «Социальная </w:t>
      </w:r>
      <w:proofErr w:type="gram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политика на благо</w:t>
      </w:r>
      <w:proofErr w:type="gram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 жителя города Саянска», «Цена на контроле», «Лучшая цена». Участники проектов реализуют социально значимые продовольственные товары с низкой торговой надбавкой </w:t>
      </w:r>
      <w:r w:rsidRPr="00C91637">
        <w:rPr>
          <w:rFonts w:ascii="Times New Roman" w:hAnsi="Times New Roman" w:cs="Times New Roman"/>
          <w:sz w:val="26"/>
          <w:szCs w:val="26"/>
        </w:rPr>
        <w:t xml:space="preserve">в </w:t>
      </w:r>
      <w:r w:rsidR="007C3095" w:rsidRPr="00C91637">
        <w:rPr>
          <w:rFonts w:ascii="Times New Roman" w:hAnsi="Times New Roman" w:cs="Times New Roman"/>
          <w:sz w:val="26"/>
          <w:szCs w:val="26"/>
        </w:rPr>
        <w:t>18</w:t>
      </w:r>
      <w:r w:rsidRPr="00C91637">
        <w:rPr>
          <w:rFonts w:ascii="Times New Roman" w:hAnsi="Times New Roman" w:cs="Times New Roman"/>
          <w:sz w:val="26"/>
          <w:szCs w:val="26"/>
        </w:rPr>
        <w:t>-ти объектах (201</w:t>
      </w:r>
      <w:r w:rsidR="007C3095" w:rsidRPr="00C91637">
        <w:rPr>
          <w:rFonts w:ascii="Times New Roman" w:hAnsi="Times New Roman" w:cs="Times New Roman"/>
          <w:sz w:val="26"/>
          <w:szCs w:val="26"/>
        </w:rPr>
        <w:t>5</w:t>
      </w:r>
      <w:r w:rsidRPr="00C91637">
        <w:rPr>
          <w:rFonts w:ascii="Times New Roman" w:hAnsi="Times New Roman" w:cs="Times New Roman"/>
          <w:sz w:val="26"/>
          <w:szCs w:val="26"/>
        </w:rPr>
        <w:t>г.</w:t>
      </w:r>
      <w:r w:rsidR="007C3095" w:rsidRPr="00C91637">
        <w:rPr>
          <w:rFonts w:ascii="Times New Roman" w:hAnsi="Times New Roman" w:cs="Times New Roman"/>
          <w:sz w:val="26"/>
          <w:szCs w:val="26"/>
        </w:rPr>
        <w:t>-20</w:t>
      </w:r>
      <w:r w:rsidRPr="00C91637">
        <w:rPr>
          <w:rFonts w:ascii="Times New Roman" w:hAnsi="Times New Roman" w:cs="Times New Roman"/>
          <w:sz w:val="26"/>
          <w:szCs w:val="26"/>
        </w:rPr>
        <w:t>).</w:t>
      </w:r>
      <w:r w:rsidR="007C3095" w:rsidRPr="00C91637">
        <w:rPr>
          <w:rFonts w:ascii="Times New Roman" w:hAnsi="Times New Roman" w:cs="Times New Roman"/>
          <w:sz w:val="26"/>
          <w:szCs w:val="26"/>
        </w:rPr>
        <w:t xml:space="preserve"> Участие индивидуальных предпринимателей </w:t>
      </w:r>
      <w:proofErr w:type="gramStart"/>
      <w:r w:rsidR="007C3095" w:rsidRPr="00C91637">
        <w:rPr>
          <w:rFonts w:ascii="Times New Roman" w:hAnsi="Times New Roman" w:cs="Times New Roman"/>
          <w:sz w:val="26"/>
          <w:szCs w:val="26"/>
        </w:rPr>
        <w:t>в социальном проекте по продаже непродовольственных товаров первой необходимости со скидкой прекращено из-за появления на потребительском рынке</w:t>
      </w:r>
      <w:proofErr w:type="gramEnd"/>
      <w:r w:rsidR="007C3095" w:rsidRPr="00C91637">
        <w:rPr>
          <w:rFonts w:ascii="Times New Roman" w:hAnsi="Times New Roman" w:cs="Times New Roman"/>
          <w:sz w:val="26"/>
          <w:szCs w:val="26"/>
        </w:rPr>
        <w:t xml:space="preserve"> сетевых компаний, которые периодически проводят акции по снижению цен на товары бытовой химии, товары</w:t>
      </w:r>
      <w:r w:rsidR="00687553" w:rsidRPr="00C91637">
        <w:rPr>
          <w:rFonts w:ascii="Times New Roman" w:hAnsi="Times New Roman" w:cs="Times New Roman"/>
          <w:sz w:val="26"/>
          <w:szCs w:val="26"/>
        </w:rPr>
        <w:t xml:space="preserve"> для личной гигиены</w:t>
      </w:r>
      <w:r w:rsidR="007C3095" w:rsidRPr="00C91637">
        <w:rPr>
          <w:rFonts w:ascii="Times New Roman" w:hAnsi="Times New Roman" w:cs="Times New Roman"/>
          <w:sz w:val="26"/>
          <w:szCs w:val="26"/>
        </w:rPr>
        <w:t>.</w:t>
      </w:r>
    </w:p>
    <w:p w:rsidR="00364D5A" w:rsidRPr="00364D5A" w:rsidRDefault="00364D5A" w:rsidP="00331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4D5A">
        <w:rPr>
          <w:rFonts w:ascii="Times New Roman" w:eastAsia="Times New Roman" w:hAnsi="Times New Roman" w:cs="Times New Roman"/>
          <w:sz w:val="26"/>
          <w:szCs w:val="26"/>
        </w:rPr>
        <w:t xml:space="preserve">С целью привлечения индивидуальных предпринимателей, крестьянско-фермерских и личных подсобных хозяйств, осуществляющих производство продуктов питания проведено 6 сезонных ярмарок, 4 праздничных ярмарки, 44 ярмарки «выходного дня» по реализации овощей, фруктов, зелени, ягод, рыбы и рыботоваров, молока и молочной продукции, мясопродуктов, колбасных изделий, хлеба и хлебобулочных изделий с участием: товаропроизводителей г. Саянска, КФХ и ЛПХ </w:t>
      </w:r>
      <w:proofErr w:type="spellStart"/>
      <w:r w:rsidRPr="00364D5A">
        <w:rPr>
          <w:rFonts w:ascii="Times New Roman" w:eastAsia="Times New Roman" w:hAnsi="Times New Roman" w:cs="Times New Roman"/>
          <w:sz w:val="26"/>
          <w:szCs w:val="26"/>
        </w:rPr>
        <w:t>Зиминского</w:t>
      </w:r>
      <w:proofErr w:type="spellEnd"/>
      <w:r w:rsidRPr="00364D5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64D5A">
        <w:rPr>
          <w:rFonts w:ascii="Times New Roman" w:eastAsia="Times New Roman" w:hAnsi="Times New Roman" w:cs="Times New Roman"/>
          <w:sz w:val="26"/>
          <w:szCs w:val="26"/>
        </w:rPr>
        <w:t>Куйтунского</w:t>
      </w:r>
      <w:proofErr w:type="spellEnd"/>
      <w:r w:rsidRPr="00364D5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64D5A">
        <w:rPr>
          <w:rFonts w:ascii="Times New Roman" w:eastAsia="Times New Roman" w:hAnsi="Times New Roman" w:cs="Times New Roman"/>
          <w:sz w:val="26"/>
          <w:szCs w:val="26"/>
        </w:rPr>
        <w:t>Нукутского</w:t>
      </w:r>
      <w:proofErr w:type="spellEnd"/>
      <w:r w:rsidRPr="00364D5A">
        <w:rPr>
          <w:rFonts w:ascii="Times New Roman" w:eastAsia="Times New Roman" w:hAnsi="Times New Roman" w:cs="Times New Roman"/>
          <w:sz w:val="26"/>
          <w:szCs w:val="26"/>
        </w:rPr>
        <w:t xml:space="preserve"> районов, садоводов и дачников</w:t>
      </w:r>
      <w:proofErr w:type="gramEnd"/>
      <w:r w:rsidRPr="00364D5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364D5A" w:rsidRPr="00364D5A" w:rsidRDefault="00364D5A" w:rsidP="00364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весенне-летний период организована работа «зеленных рынков» </w:t>
      </w:r>
      <w:r w:rsidRPr="00364D5A">
        <w:rPr>
          <w:rFonts w:ascii="Times New Roman" w:eastAsia="Times New Roman" w:hAnsi="Times New Roman" w:cs="Times New Roman"/>
          <w:sz w:val="26"/>
          <w:szCs w:val="26"/>
        </w:rPr>
        <w:t>продукции садоводов и дачников муниципального образования на оборудованных торговых прилавках около ВОК «Бодрость», магазина «</w:t>
      </w:r>
      <w:proofErr w:type="spellStart"/>
      <w:r w:rsidRPr="00364D5A">
        <w:rPr>
          <w:rFonts w:ascii="Times New Roman" w:eastAsia="Times New Roman" w:hAnsi="Times New Roman" w:cs="Times New Roman"/>
          <w:sz w:val="26"/>
          <w:szCs w:val="26"/>
        </w:rPr>
        <w:t>Восточка</w:t>
      </w:r>
      <w:proofErr w:type="spellEnd"/>
      <w:r w:rsidRPr="00364D5A">
        <w:rPr>
          <w:rFonts w:ascii="Times New Roman" w:eastAsia="Times New Roman" w:hAnsi="Times New Roman" w:cs="Times New Roman"/>
          <w:sz w:val="26"/>
          <w:szCs w:val="26"/>
        </w:rPr>
        <w:t>», торгового комплекса № 71.</w:t>
      </w:r>
    </w:p>
    <w:p w:rsidR="00364D5A" w:rsidRPr="00C91637" w:rsidRDefault="00364D5A" w:rsidP="00364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Впервые была организована специализированная тематическая ярмарка по продаже изделий народных художественных промыслов на территории городского фонтана с мая по сентябрь.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37">
        <w:rPr>
          <w:rFonts w:ascii="Times New Roman" w:hAnsi="Times New Roman" w:cs="Times New Roman"/>
          <w:sz w:val="26"/>
          <w:szCs w:val="26"/>
        </w:rPr>
        <w:t>В целях повышения качества товаров и культуры обслуживания населения проведены мероприятия:</w:t>
      </w:r>
    </w:p>
    <w:p w:rsidR="00FE7F88" w:rsidRPr="00C91637" w:rsidRDefault="00BE6193" w:rsidP="00BE6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3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- 4 месячника</w:t>
      </w:r>
      <w:r w:rsidRPr="00C91637">
        <w:rPr>
          <w:rFonts w:ascii="Times New Roman" w:hAnsi="Times New Roman" w:cs="Times New Roman"/>
          <w:sz w:val="26"/>
          <w:szCs w:val="26"/>
        </w:rPr>
        <w:t xml:space="preserve"> качества товаров и услуг (201</w:t>
      </w:r>
      <w:r w:rsidR="00FE7F88" w:rsidRPr="00C91637">
        <w:rPr>
          <w:rFonts w:ascii="Times New Roman" w:hAnsi="Times New Roman" w:cs="Times New Roman"/>
          <w:sz w:val="26"/>
          <w:szCs w:val="26"/>
        </w:rPr>
        <w:t>5</w:t>
      </w:r>
      <w:r w:rsidRPr="00C91637">
        <w:rPr>
          <w:rFonts w:ascii="Times New Roman" w:hAnsi="Times New Roman" w:cs="Times New Roman"/>
          <w:sz w:val="26"/>
          <w:szCs w:val="26"/>
        </w:rPr>
        <w:t xml:space="preserve">г. – </w:t>
      </w:r>
      <w:r w:rsidR="00FE7F88" w:rsidRPr="00C91637">
        <w:rPr>
          <w:rFonts w:ascii="Times New Roman" w:hAnsi="Times New Roman" w:cs="Times New Roman"/>
          <w:sz w:val="26"/>
          <w:szCs w:val="26"/>
        </w:rPr>
        <w:t>4</w:t>
      </w:r>
      <w:r w:rsidRPr="00C91637">
        <w:rPr>
          <w:rFonts w:ascii="Times New Roman" w:hAnsi="Times New Roman" w:cs="Times New Roman"/>
          <w:sz w:val="26"/>
          <w:szCs w:val="26"/>
        </w:rPr>
        <w:t xml:space="preserve">). В период проведения месячников были организованы 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 xml:space="preserve">телефонные «горячие линии» </w:t>
      </w:r>
      <w:r w:rsidRPr="00C91637">
        <w:rPr>
          <w:rFonts w:ascii="Times New Roman" w:hAnsi="Times New Roman" w:cs="Times New Roman"/>
          <w:sz w:val="26"/>
          <w:szCs w:val="26"/>
        </w:rPr>
        <w:t>по вопросам качества и безопасности ранних овощей и фруктов, мяса и иных продуктов животноводства, пиротехнической прод</w:t>
      </w:r>
      <w:r w:rsidR="00EA70B8" w:rsidRPr="00C91637">
        <w:rPr>
          <w:rFonts w:ascii="Times New Roman" w:hAnsi="Times New Roman" w:cs="Times New Roman"/>
          <w:sz w:val="26"/>
          <w:szCs w:val="26"/>
        </w:rPr>
        <w:t>укции, защиты прав потребителей.</w:t>
      </w:r>
    </w:p>
    <w:p w:rsidR="00EA70B8" w:rsidRPr="00EA70B8" w:rsidRDefault="00EA70B8" w:rsidP="009F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637">
        <w:rPr>
          <w:rFonts w:ascii="Times New Roman" w:eastAsia="Times New Roman" w:hAnsi="Times New Roman" w:cs="Times New Roman"/>
          <w:sz w:val="26"/>
          <w:szCs w:val="26"/>
        </w:rPr>
        <w:t>В рамках месячников проводились рейдовые мероприятия:</w:t>
      </w:r>
    </w:p>
    <w:p w:rsidR="00EA70B8" w:rsidRPr="00EA70B8" w:rsidRDefault="00EA70B8" w:rsidP="009F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0B8">
        <w:rPr>
          <w:rFonts w:ascii="Times New Roman" w:eastAsia="Times New Roman" w:hAnsi="Times New Roman" w:cs="Times New Roman"/>
          <w:sz w:val="26"/>
          <w:szCs w:val="26"/>
        </w:rPr>
        <w:t>2 рейда по пресечению мест не установленной торговли ранними овощами и фруктами совместно с участковыми уполномоченными отдела полиции «</w:t>
      </w:r>
      <w:proofErr w:type="spellStart"/>
      <w:r w:rsidRPr="00EA70B8">
        <w:rPr>
          <w:rFonts w:ascii="Times New Roman" w:eastAsia="Times New Roman" w:hAnsi="Times New Roman" w:cs="Times New Roman"/>
          <w:sz w:val="26"/>
          <w:szCs w:val="26"/>
        </w:rPr>
        <w:t>Зиминский</w:t>
      </w:r>
      <w:proofErr w:type="spellEnd"/>
      <w:r w:rsidRPr="00EA70B8">
        <w:rPr>
          <w:rFonts w:ascii="Times New Roman" w:eastAsia="Times New Roman" w:hAnsi="Times New Roman" w:cs="Times New Roman"/>
          <w:sz w:val="26"/>
          <w:szCs w:val="26"/>
        </w:rPr>
        <w:t xml:space="preserve">» (дислокация г.Саянск), </w:t>
      </w:r>
      <w:proofErr w:type="spellStart"/>
      <w:r w:rsidRPr="00EA70B8">
        <w:rPr>
          <w:rFonts w:ascii="Times New Roman" w:eastAsia="Times New Roman" w:hAnsi="Times New Roman" w:cs="Times New Roman"/>
          <w:sz w:val="26"/>
          <w:szCs w:val="26"/>
        </w:rPr>
        <w:t>Зиминским</w:t>
      </w:r>
      <w:proofErr w:type="spellEnd"/>
      <w:r w:rsidRPr="00EA70B8">
        <w:rPr>
          <w:rFonts w:ascii="Times New Roman" w:eastAsia="Times New Roman" w:hAnsi="Times New Roman" w:cs="Times New Roman"/>
          <w:sz w:val="26"/>
          <w:szCs w:val="26"/>
        </w:rPr>
        <w:t xml:space="preserve"> межрайонным отделом </w:t>
      </w:r>
      <w:proofErr w:type="spellStart"/>
      <w:r w:rsidRPr="00EA70B8">
        <w:rPr>
          <w:rFonts w:ascii="Times New Roman" w:eastAsia="Times New Roman" w:hAnsi="Times New Roman" w:cs="Times New Roman"/>
          <w:sz w:val="26"/>
          <w:szCs w:val="26"/>
        </w:rPr>
        <w:t>Россельхознадзора</w:t>
      </w:r>
      <w:proofErr w:type="spellEnd"/>
      <w:r w:rsidRPr="00EA70B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A70B8" w:rsidRPr="00EA70B8" w:rsidRDefault="00EA70B8" w:rsidP="009F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0B8">
        <w:rPr>
          <w:rFonts w:ascii="Times New Roman" w:eastAsia="Times New Roman" w:hAnsi="Times New Roman" w:cs="Times New Roman"/>
          <w:sz w:val="26"/>
          <w:szCs w:val="26"/>
        </w:rPr>
        <w:t>2 рейда по пресечению мест не установленной торговли мяса и продукции животноводства совместно с участковыми уполномоченными отдела полиции «</w:t>
      </w:r>
      <w:proofErr w:type="spellStart"/>
      <w:r w:rsidRPr="00EA70B8">
        <w:rPr>
          <w:rFonts w:ascii="Times New Roman" w:eastAsia="Times New Roman" w:hAnsi="Times New Roman" w:cs="Times New Roman"/>
          <w:sz w:val="26"/>
          <w:szCs w:val="26"/>
        </w:rPr>
        <w:t>Зиминский</w:t>
      </w:r>
      <w:proofErr w:type="spellEnd"/>
      <w:r w:rsidRPr="00EA70B8">
        <w:rPr>
          <w:rFonts w:ascii="Times New Roman" w:eastAsia="Times New Roman" w:hAnsi="Times New Roman" w:cs="Times New Roman"/>
          <w:sz w:val="26"/>
          <w:szCs w:val="26"/>
        </w:rPr>
        <w:t xml:space="preserve">» (дислокация г.Саянск), ветеринарной службой и </w:t>
      </w:r>
      <w:proofErr w:type="spellStart"/>
      <w:r w:rsidRPr="00EA70B8">
        <w:rPr>
          <w:rFonts w:ascii="Times New Roman" w:eastAsia="Times New Roman" w:hAnsi="Times New Roman" w:cs="Times New Roman"/>
          <w:sz w:val="26"/>
          <w:szCs w:val="26"/>
        </w:rPr>
        <w:t>Зиминским</w:t>
      </w:r>
      <w:proofErr w:type="spellEnd"/>
      <w:r w:rsidRPr="00EA70B8">
        <w:rPr>
          <w:rFonts w:ascii="Times New Roman" w:eastAsia="Times New Roman" w:hAnsi="Times New Roman" w:cs="Times New Roman"/>
          <w:sz w:val="26"/>
          <w:szCs w:val="26"/>
        </w:rPr>
        <w:t xml:space="preserve"> межрайонным отделом </w:t>
      </w:r>
      <w:proofErr w:type="spellStart"/>
      <w:r w:rsidRPr="00EA70B8">
        <w:rPr>
          <w:rFonts w:ascii="Times New Roman" w:eastAsia="Times New Roman" w:hAnsi="Times New Roman" w:cs="Times New Roman"/>
          <w:sz w:val="26"/>
          <w:szCs w:val="26"/>
        </w:rPr>
        <w:t>Россельхознадзора</w:t>
      </w:r>
      <w:proofErr w:type="spellEnd"/>
      <w:r w:rsidRPr="00EA70B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A70B8" w:rsidRPr="00EA70B8" w:rsidRDefault="00EA70B8" w:rsidP="009F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0B8">
        <w:rPr>
          <w:rFonts w:ascii="Times New Roman" w:eastAsia="Times New Roman" w:hAnsi="Times New Roman" w:cs="Times New Roman"/>
          <w:sz w:val="26"/>
          <w:szCs w:val="26"/>
        </w:rPr>
        <w:t xml:space="preserve">1 рейд по пресечению мест не установленной торговли пиротехнической продукции совместно с отделом надзорной </w:t>
      </w:r>
      <w:r w:rsidR="00375F5D">
        <w:rPr>
          <w:rFonts w:ascii="Times New Roman" w:eastAsia="Times New Roman" w:hAnsi="Times New Roman" w:cs="Times New Roman"/>
          <w:sz w:val="26"/>
          <w:szCs w:val="26"/>
        </w:rPr>
        <w:t>деятельности:</w:t>
      </w:r>
    </w:p>
    <w:p w:rsidR="00EA70B8" w:rsidRPr="00EA70B8" w:rsidRDefault="00EA70B8" w:rsidP="009F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637">
        <w:rPr>
          <w:rFonts w:ascii="Times New Roman" w:eastAsia="Times New Roman" w:hAnsi="Times New Roman" w:cs="Times New Roman"/>
          <w:sz w:val="26"/>
          <w:szCs w:val="26"/>
        </w:rPr>
        <w:t>- п</w:t>
      </w:r>
      <w:r w:rsidRPr="00EA70B8">
        <w:rPr>
          <w:rFonts w:ascii="Times New Roman" w:eastAsia="Times New Roman" w:hAnsi="Times New Roman" w:cs="Times New Roman"/>
          <w:sz w:val="26"/>
          <w:szCs w:val="26"/>
        </w:rPr>
        <w:t>роводил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EA70B8">
        <w:rPr>
          <w:rFonts w:ascii="Times New Roman" w:eastAsia="Times New Roman" w:hAnsi="Times New Roman" w:cs="Times New Roman"/>
          <w:sz w:val="26"/>
          <w:szCs w:val="26"/>
        </w:rPr>
        <w:t xml:space="preserve"> мониторинг по соблюдению представителями торговли договорённости об исключении из ассортимента реализуемых товаров косметических лосьонов с высоким содержанием спирта «Боярышник», «Вита-Септ» и др., 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>проведено 7 рейдов;</w:t>
      </w:r>
    </w:p>
    <w:p w:rsidR="0084077B" w:rsidRPr="00C91637" w:rsidRDefault="00FE7F88" w:rsidP="00840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37">
        <w:rPr>
          <w:rFonts w:ascii="Times New Roman" w:hAnsi="Times New Roman" w:cs="Times New Roman"/>
          <w:sz w:val="26"/>
          <w:szCs w:val="26"/>
        </w:rPr>
        <w:t>- р</w:t>
      </w:r>
      <w:r w:rsidR="00BE6193" w:rsidRPr="00C91637">
        <w:rPr>
          <w:rFonts w:ascii="Times New Roman" w:hAnsi="Times New Roman" w:cs="Times New Roman"/>
          <w:sz w:val="26"/>
          <w:szCs w:val="26"/>
        </w:rPr>
        <w:t>аботает постоянно действующая телефонная «горячая линия» по вопросам соблюдения требований законодательства к розничной продаже алкогольной продукции, табачных изделий</w:t>
      </w:r>
      <w:r w:rsidR="0084077B" w:rsidRPr="00C91637">
        <w:rPr>
          <w:rFonts w:ascii="Times New Roman" w:hAnsi="Times New Roman" w:cs="Times New Roman"/>
          <w:sz w:val="26"/>
          <w:szCs w:val="26"/>
        </w:rPr>
        <w:t>;</w:t>
      </w:r>
    </w:p>
    <w:p w:rsidR="00FE7F88" w:rsidRPr="00FE7F88" w:rsidRDefault="00FE7F88" w:rsidP="00840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637">
        <w:rPr>
          <w:rFonts w:ascii="Times New Roman" w:eastAsia="Times New Roman" w:hAnsi="Times New Roman" w:cs="Times New Roman"/>
          <w:sz w:val="26"/>
          <w:szCs w:val="26"/>
        </w:rPr>
        <w:t>-</w:t>
      </w:r>
      <w:r w:rsidR="0084077B" w:rsidRPr="00C9163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 xml:space="preserve">в 2016 году были организованы 3 тематические телефонные «горячие линии» </w:t>
      </w:r>
      <w:r w:rsidRPr="00FE7F88">
        <w:rPr>
          <w:rFonts w:ascii="Times New Roman" w:eastAsia="Times New Roman" w:hAnsi="Times New Roman" w:cs="Times New Roman"/>
          <w:sz w:val="26"/>
          <w:szCs w:val="26"/>
        </w:rPr>
        <w:t>по тем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3F237E" w:rsidRPr="00C91637">
        <w:rPr>
          <w:rFonts w:ascii="Times New Roman" w:eastAsia="Times New Roman" w:hAnsi="Times New Roman" w:cs="Times New Roman"/>
          <w:sz w:val="26"/>
          <w:szCs w:val="26"/>
        </w:rPr>
        <w:t xml:space="preserve">розничной 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>продажи алкогольной продукции: «</w:t>
      </w:r>
      <w:r w:rsidRPr="00FE7F88">
        <w:rPr>
          <w:rFonts w:ascii="Times New Roman" w:eastAsia="Times New Roman" w:hAnsi="Times New Roman" w:cs="Times New Roman"/>
          <w:sz w:val="26"/>
          <w:szCs w:val="26"/>
        </w:rPr>
        <w:t>Торгуют алкоголем рядом со школой – сообщи!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FE7F88">
        <w:rPr>
          <w:rFonts w:ascii="Times New Roman" w:eastAsia="Times New Roman" w:hAnsi="Times New Roman" w:cs="Times New Roman"/>
          <w:sz w:val="26"/>
          <w:szCs w:val="26"/>
        </w:rPr>
        <w:t>Продали алкоголь несовершеннолетнему – позвони!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FE7F88">
        <w:rPr>
          <w:rFonts w:ascii="Times New Roman" w:eastAsia="Times New Roman" w:hAnsi="Times New Roman" w:cs="Times New Roman"/>
          <w:sz w:val="26"/>
          <w:szCs w:val="26"/>
        </w:rPr>
        <w:t>Продали алкоголь и пиво ночью – сообщи!</w:t>
      </w:r>
      <w:r w:rsidR="003F237E" w:rsidRPr="00C91637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84077B" w:rsidRPr="00C91637" w:rsidRDefault="0084077B" w:rsidP="00BE6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hAnsi="Times New Roman" w:cs="Times New Roman"/>
          <w:sz w:val="26"/>
          <w:szCs w:val="26"/>
        </w:rPr>
        <w:t>- в</w:t>
      </w:r>
      <w:r w:rsidR="00BE6193" w:rsidRPr="00C91637">
        <w:rPr>
          <w:rFonts w:ascii="Times New Roman" w:hAnsi="Times New Roman" w:cs="Times New Roman"/>
          <w:sz w:val="26"/>
          <w:szCs w:val="26"/>
        </w:rPr>
        <w:t xml:space="preserve"> средствах массовой информации и на официальном сайте администрации размещалась информация по проблемным вопросам в о</w:t>
      </w:r>
      <w:r w:rsidR="003F237E" w:rsidRPr="00C91637">
        <w:rPr>
          <w:rFonts w:ascii="Times New Roman" w:hAnsi="Times New Roman" w:cs="Times New Roman"/>
          <w:sz w:val="26"/>
          <w:szCs w:val="26"/>
        </w:rPr>
        <w:t>бласти защиты прав потребителей;</w:t>
      </w:r>
    </w:p>
    <w:p w:rsidR="00063781" w:rsidRPr="00063781" w:rsidRDefault="009F3D16" w:rsidP="009F3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</w:rPr>
        <w:t>- </w:t>
      </w:r>
      <w:r w:rsidR="00EC4C72">
        <w:rPr>
          <w:rFonts w:ascii="Times New Roman" w:eastAsia="Times New Roman" w:hAnsi="Times New Roman" w:cs="Times New Roman"/>
          <w:sz w:val="26"/>
          <w:szCs w:val="26"/>
        </w:rPr>
        <w:t xml:space="preserve">проводился </w:t>
      </w:r>
      <w:r w:rsidRPr="00C91637">
        <w:rPr>
          <w:rFonts w:ascii="Times New Roman" w:eastAsia="Times New Roman" w:hAnsi="Times New Roman" w:cs="Times New Roman"/>
          <w:sz w:val="26"/>
          <w:szCs w:val="26"/>
        </w:rPr>
        <w:t xml:space="preserve">мониторинг </w:t>
      </w:r>
      <w:r w:rsidR="00063781" w:rsidRPr="00063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предприятий потребительского рынка по исполнению Федерального закона № 419-ФЗ 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</w:t>
      </w:r>
      <w:r w:rsidR="00063781" w:rsidRPr="0006378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доступности объектов для инвалидов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было </w:t>
      </w:r>
      <w:r w:rsidR="00063781" w:rsidRPr="00063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охвачено 34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потребительского рынка, по результатам которого </w:t>
      </w:r>
      <w:r w:rsidR="00063781" w:rsidRPr="000637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которым выдавались предписания хозяйствующим субъектам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отношении</w:t>
      </w:r>
      <w:r w:rsidR="00063781" w:rsidRPr="00063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063781" w:rsidRPr="00063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соответствующи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063781" w:rsidRPr="00063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ГОСТ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F237E" w:rsidRPr="003F237E" w:rsidRDefault="003F237E" w:rsidP="005D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37">
        <w:rPr>
          <w:rFonts w:ascii="Times New Roman" w:hAnsi="Times New Roman" w:cs="Times New Roman"/>
          <w:sz w:val="26"/>
          <w:szCs w:val="26"/>
        </w:rPr>
        <w:t xml:space="preserve">- </w:t>
      </w:r>
      <w:r w:rsidR="00EC4C72">
        <w:rPr>
          <w:rFonts w:ascii="Times New Roman" w:hAnsi="Times New Roman" w:cs="Times New Roman"/>
          <w:sz w:val="26"/>
          <w:szCs w:val="26"/>
        </w:rPr>
        <w:t xml:space="preserve">проводились </w:t>
      </w:r>
      <w:r w:rsidRPr="00C91637">
        <w:rPr>
          <w:rFonts w:ascii="Times New Roman" w:hAnsi="Times New Roman" w:cs="Times New Roman"/>
          <w:sz w:val="26"/>
          <w:szCs w:val="26"/>
        </w:rPr>
        <w:t xml:space="preserve">городские конкурсы </w:t>
      </w:r>
      <w:r w:rsidRPr="003F237E">
        <w:rPr>
          <w:rFonts w:ascii="Times New Roman" w:hAnsi="Times New Roman" w:cs="Times New Roman"/>
          <w:sz w:val="26"/>
          <w:szCs w:val="26"/>
        </w:rPr>
        <w:t>«Лучший по профессии</w:t>
      </w:r>
      <w:r w:rsidRPr="003F237E">
        <w:rPr>
          <w:sz w:val="26"/>
          <w:szCs w:val="26"/>
        </w:rPr>
        <w:t xml:space="preserve"> </w:t>
      </w:r>
      <w:r w:rsidRPr="003F237E">
        <w:rPr>
          <w:rFonts w:ascii="Times New Roman" w:hAnsi="Times New Roman" w:cs="Times New Roman"/>
          <w:sz w:val="26"/>
          <w:szCs w:val="26"/>
        </w:rPr>
        <w:t>в сфере потребительского рынка» среди продавцов продовольственных и непродовольственных товаров</w:t>
      </w:r>
      <w:r w:rsidR="005D6084" w:rsidRPr="00C91637">
        <w:rPr>
          <w:rFonts w:ascii="Times New Roman" w:hAnsi="Times New Roman" w:cs="Times New Roman"/>
          <w:sz w:val="26"/>
          <w:szCs w:val="26"/>
        </w:rPr>
        <w:t xml:space="preserve"> и</w:t>
      </w:r>
      <w:r w:rsidRPr="003F237E">
        <w:rPr>
          <w:rFonts w:ascii="Times New Roman" w:hAnsi="Times New Roman" w:cs="Times New Roman"/>
          <w:sz w:val="26"/>
          <w:szCs w:val="26"/>
        </w:rPr>
        <w:t xml:space="preserve"> </w:t>
      </w:r>
      <w:r w:rsidR="005D6084" w:rsidRPr="00C91637">
        <w:rPr>
          <w:rFonts w:ascii="Times New Roman" w:hAnsi="Times New Roman" w:cs="Times New Roman"/>
          <w:sz w:val="26"/>
          <w:szCs w:val="26"/>
        </w:rPr>
        <w:t>«Л</w:t>
      </w:r>
      <w:r w:rsidRPr="003F237E">
        <w:rPr>
          <w:rFonts w:ascii="Times New Roman" w:hAnsi="Times New Roman" w:cs="Times New Roman"/>
          <w:sz w:val="26"/>
          <w:szCs w:val="26"/>
        </w:rPr>
        <w:t>учшее новогоднее оформление предприятий потребительского рынка</w:t>
      </w:r>
      <w:r w:rsidR="005D6084" w:rsidRPr="00C91637">
        <w:rPr>
          <w:rFonts w:ascii="Times New Roman" w:hAnsi="Times New Roman" w:cs="Times New Roman"/>
          <w:sz w:val="26"/>
          <w:szCs w:val="26"/>
        </w:rPr>
        <w:t>»;</w:t>
      </w:r>
      <w:r w:rsidRPr="003F23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237E" w:rsidRPr="00C91637" w:rsidRDefault="005D6084" w:rsidP="005D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предприятие по оказанию бытовых услуг «Студия здоровья и красоты» ИП Белокопытовой М.С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приняло участие в </w:t>
      </w:r>
      <w:r w:rsidR="003F237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областно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F237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F237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F237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«Лучшее предприятие бытового обслуживания Иркутской области»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котором </w:t>
      </w:r>
      <w:r w:rsidR="003F237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аняла 2 место;</w:t>
      </w:r>
    </w:p>
    <w:p w:rsidR="005D6084" w:rsidRPr="00C91637" w:rsidRDefault="005D6084" w:rsidP="005D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37">
        <w:rPr>
          <w:rFonts w:ascii="Times New Roman" w:hAnsi="Times New Roman" w:cs="Times New Roman"/>
          <w:sz w:val="26"/>
          <w:szCs w:val="26"/>
          <w:lang w:eastAsia="ru-RU"/>
        </w:rPr>
        <w:t>- </w:t>
      </w:r>
      <w:r w:rsidR="00EC4C72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</w:t>
      </w:r>
      <w:r w:rsidRPr="00C91637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C91637">
        <w:rPr>
          <w:rFonts w:ascii="Times New Roman" w:hAnsi="Times New Roman" w:cs="Times New Roman"/>
          <w:sz w:val="26"/>
          <w:szCs w:val="26"/>
        </w:rPr>
        <w:t xml:space="preserve">овещание с индивидуальными предпринимателями, реализующими парфюмерно-косметическую продукцию, и юридическими лицами, реализующими алкогольную продукцию, в части соблюдения совместно принятого решения о прекращении реализации на территории муниципального образования косметических лосьонов с содержанием спирта от 75 до 95 процентов, </w:t>
      </w:r>
      <w:r w:rsidRPr="00C91637">
        <w:rPr>
          <w:rFonts w:ascii="Times New Roman" w:hAnsi="Times New Roman" w:cs="Times New Roman"/>
          <w:sz w:val="26"/>
          <w:szCs w:val="26"/>
        </w:rPr>
        <w:lastRenderedPageBreak/>
        <w:t>применяющихся не по назначению, а также контрафактной алкогольной продукции</w:t>
      </w:r>
      <w:r w:rsidR="00EC4C72">
        <w:rPr>
          <w:rFonts w:ascii="Times New Roman" w:hAnsi="Times New Roman" w:cs="Times New Roman"/>
          <w:sz w:val="26"/>
          <w:szCs w:val="26"/>
        </w:rPr>
        <w:t>;</w:t>
      </w:r>
    </w:p>
    <w:p w:rsidR="00BE6193" w:rsidRPr="00C91637" w:rsidRDefault="00BE6193" w:rsidP="005D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hAnsi="Times New Roman" w:cs="Times New Roman"/>
          <w:sz w:val="26"/>
          <w:szCs w:val="26"/>
          <w:lang w:eastAsia="ru-RU"/>
        </w:rPr>
        <w:t>В результате проведенных мероприятий приняты соответствующие меры по недопущению на потребительский рынок некачественных пищевых продуктов, товаров и услуг.</w:t>
      </w:r>
    </w:p>
    <w:p w:rsidR="00BE6193" w:rsidRPr="00C91637" w:rsidRDefault="00BE6193" w:rsidP="00BE619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</w:p>
    <w:p w:rsidR="00BE6193" w:rsidRPr="00C91637" w:rsidRDefault="00BE6193" w:rsidP="00BE61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Общественное питание</w:t>
      </w:r>
    </w:p>
    <w:p w:rsidR="00843C34" w:rsidRPr="00C91637" w:rsidRDefault="00BE6193" w:rsidP="00843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Оборот общественного питания по предварительной оценке в январе - декабре 201</w:t>
      </w:r>
      <w:r w:rsidR="00F27B6F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2</w:t>
      </w:r>
      <w:r w:rsidR="0055527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27B6F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5527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 или </w:t>
      </w:r>
      <w:r w:rsidR="00CE4929">
        <w:rPr>
          <w:rFonts w:ascii="Times New Roman" w:eastAsia="Times New Roman" w:hAnsi="Times New Roman" w:cs="Times New Roman"/>
          <w:sz w:val="26"/>
          <w:szCs w:val="26"/>
          <w:lang w:eastAsia="ru-RU"/>
        </w:rPr>
        <w:t>103</w:t>
      </w:r>
      <w:r w:rsidR="00A4693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к соответствующему периоду прошлого года в сопоставимых ценах. </w:t>
      </w:r>
      <w:r w:rsidR="00843C3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расчете на душу населения оборот общественного питания составил </w:t>
      </w:r>
      <w:r w:rsidR="00843C34">
        <w:rPr>
          <w:rFonts w:ascii="Times New Roman" w:eastAsia="Times New Roman" w:hAnsi="Times New Roman" w:cs="Times New Roman"/>
          <w:sz w:val="26"/>
          <w:szCs w:val="26"/>
          <w:lang w:eastAsia="ru-RU"/>
        </w:rPr>
        <w:t>522</w:t>
      </w:r>
      <w:r w:rsidR="00843C3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43C3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43C3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 (в январе-декабре 2015 года - </w:t>
      </w:r>
      <w:r w:rsidR="00843C34">
        <w:rPr>
          <w:rFonts w:ascii="Times New Roman" w:eastAsia="Times New Roman" w:hAnsi="Times New Roman" w:cs="Times New Roman"/>
          <w:sz w:val="26"/>
          <w:szCs w:val="26"/>
          <w:lang w:eastAsia="ru-RU"/>
        </w:rPr>
        <w:t>508</w:t>
      </w:r>
      <w:r w:rsidR="00843C3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43C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43C3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месяц) и </w:t>
      </w:r>
      <w:r w:rsidR="00843C3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</w:t>
      </w:r>
      <w:r w:rsidR="00843C3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ился в реальном выражении на </w:t>
      </w:r>
      <w:r w:rsidR="00843C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43C3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43C3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43C34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</w:t>
      </w:r>
      <w:r w:rsidR="00843C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рейтинге 42 муниципальных образований Иркутской области по данному показателю Саянск занимает 4 место</w:t>
      </w:r>
    </w:p>
    <w:p w:rsidR="00BE6193" w:rsidRPr="00BE6193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93" w:rsidRPr="00BE6193" w:rsidRDefault="00BE6193" w:rsidP="00BE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88820" wp14:editId="4DEAF87C">
                <wp:simplePos x="0" y="0"/>
                <wp:positionH relativeFrom="column">
                  <wp:posOffset>912062</wp:posOffset>
                </wp:positionH>
                <wp:positionV relativeFrom="paragraph">
                  <wp:posOffset>-219391</wp:posOffset>
                </wp:positionV>
                <wp:extent cx="4477978" cy="461842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978" cy="4618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6193" w:rsidRPr="00C91637" w:rsidRDefault="00BE6193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Оборот общественного питания в 201</w:t>
                            </w:r>
                            <w:r w:rsidR="00F27B6F"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-201</w:t>
                            </w:r>
                            <w:r w:rsidR="00F27B6F"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 </w:t>
                            </w:r>
                            <w:proofErr w:type="spell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г.</w:t>
                            </w:r>
                            <w:proofErr w:type="gram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</w:t>
                            </w:r>
                            <w:proofErr w:type="spellEnd"/>
                            <w:proofErr w:type="gramEnd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E6193" w:rsidRDefault="00BE6193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(млн. руб.)</w:t>
                            </w:r>
                          </w:p>
                          <w:p w:rsidR="00905034" w:rsidRDefault="00905034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05034" w:rsidRDefault="00905034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05034" w:rsidRPr="00C91637" w:rsidRDefault="00905034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8pt;margin-top:-17.25pt;width:352.6pt;height:3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" filled="f" stroked="f">
                <v:textbox>
                  <w:txbxContent>
                    <w:p w:rsidR="00BE6193" w:rsidRPr="00C91637" w:rsidRDefault="00BE6193" w:rsidP="00BE6193">
                      <w:pPr>
                        <w:pStyle w:val="a5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Оборот общественного питания в 201</w:t>
                      </w:r>
                      <w:r w:rsidR="00F27B6F"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-201</w:t>
                      </w:r>
                      <w:r w:rsidR="00F27B6F"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 xml:space="preserve">6 </w:t>
                      </w:r>
                      <w:proofErr w:type="spell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г.</w:t>
                      </w:r>
                      <w:proofErr w:type="gram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</w:t>
                      </w:r>
                      <w:proofErr w:type="spellEnd"/>
                      <w:proofErr w:type="gramEnd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E6193" w:rsidRDefault="00BE6193" w:rsidP="00BE6193">
                      <w:pPr>
                        <w:pStyle w:val="a5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(млн. руб.)</w:t>
                      </w:r>
                    </w:p>
                    <w:p w:rsidR="00905034" w:rsidRDefault="00905034" w:rsidP="00BE6193">
                      <w:pPr>
                        <w:pStyle w:val="a5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05034" w:rsidRDefault="00905034" w:rsidP="00BE6193">
                      <w:pPr>
                        <w:pStyle w:val="a5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05034" w:rsidRPr="00C91637" w:rsidRDefault="00905034" w:rsidP="00BE6193">
                      <w:pPr>
                        <w:pStyle w:val="a5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034" w:rsidRDefault="00905034" w:rsidP="009050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239D1E" wp14:editId="50410813">
            <wp:extent cx="3982970" cy="2064412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осуществля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т деятельность 5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предприятие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питания: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ресторан на 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мест;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- 1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 на 4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мест;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бар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4 п. места;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закусочных на 22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- 1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столовых на 26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</w:t>
      </w:r>
      <w:r w:rsidR="00851E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- 4 кафетерия,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- 1 буфет,</w:t>
      </w:r>
    </w:p>
    <w:p w:rsidR="00BE6193" w:rsidRPr="00C91637" w:rsidRDefault="00851E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- 3 кулинарии,</w:t>
      </w:r>
    </w:p>
    <w:p w:rsidR="00851E93" w:rsidRPr="00C91637" w:rsidRDefault="00851E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- 2 заготовочных цеха (изготовление и доставка роллов).</w:t>
      </w:r>
    </w:p>
    <w:p w:rsidR="00857C96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Сеть предприятий общественного питания в этом году </w:t>
      </w:r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сократилась в связи с закрытием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предприятий общедоступной сети, в том числе</w:t>
      </w:r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2-х ресторанов на 110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</w:t>
      </w:r>
      <w:proofErr w:type="spellEnd"/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2-х кафе</w:t>
      </w:r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17 </w:t>
      </w:r>
      <w:proofErr w:type="spellStart"/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п.м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</w:t>
      </w:r>
      <w:proofErr w:type="spellEnd"/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закрытой сети 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пром</w:t>
      </w:r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- 2-х рабочих столовых на 76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п.м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</w:t>
      </w:r>
      <w:proofErr w:type="spellEnd"/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82DA0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«Саянскхимпласт». </w:t>
      </w:r>
    </w:p>
    <w:p w:rsidR="00BE6193" w:rsidRPr="00C91637" w:rsidRDefault="00982DA0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</w:t>
      </w:r>
      <w:r w:rsidR="00BE61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открылось «Семейное кафе» в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Ленинградский на 54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BE61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олучили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дальнейшее </w:t>
      </w:r>
      <w:r w:rsidR="00BE61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автоматы по продаже кофе и других напитков, устанавливаемые в учреждениях (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E6193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ед.). 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Обеспеченность посадочными местами в общедоступной сети составляет 2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 тыс. человек при социальном нормативе обеспеченности 40 </w:t>
      </w:r>
      <w:proofErr w:type="spell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</w:t>
      </w:r>
      <w:proofErr w:type="spellEnd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от норматива и в сравнении с предыдущим годом 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сократилась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57C9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%.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Важным экономическим и социальным аспектом является питание рабочих и служащих, учащихся образовательных учреждений города. В целом закрытая сеть представлена 2</w:t>
      </w:r>
      <w:r w:rsidR="008D3F6C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предприятиями или</w:t>
      </w:r>
      <w:r w:rsidR="008D3F6C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45,1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общего количества предприятий общественного питания, в том числе: при учебных заведениях - 9, при промпредприятиях и учреждениях - 1</w:t>
      </w:r>
      <w:r w:rsidR="008D3F6C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790A" w:rsidRPr="00C91637" w:rsidRDefault="00BE6193" w:rsidP="00907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</w:t>
      </w:r>
      <w:r w:rsidR="009079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-201</w:t>
      </w:r>
      <w:r w:rsidR="009079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 учебном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9079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проводился </w:t>
      </w:r>
      <w:r w:rsidR="0090790A" w:rsidRPr="00C91637">
        <w:rPr>
          <w:rFonts w:ascii="Times New Roman" w:hAnsi="Times New Roman" w:cs="Times New Roman"/>
          <w:sz w:val="26"/>
          <w:szCs w:val="26"/>
        </w:rPr>
        <w:t>мониторинг по соблюдению условий контрактов (договоров) поставки продуктов питания и качества продуктов питания в муниципальных дошкольных образовательных учреждениях городского округа муниципального образования «город Саянск»</w:t>
      </w:r>
      <w:r w:rsidR="00987E76" w:rsidRPr="00C91637">
        <w:rPr>
          <w:rFonts w:ascii="Times New Roman" w:hAnsi="Times New Roman" w:cs="Times New Roman"/>
          <w:sz w:val="26"/>
          <w:szCs w:val="26"/>
        </w:rPr>
        <w:t xml:space="preserve"> для улучшения питания детей и </w:t>
      </w:r>
      <w:r w:rsidR="00987E7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качества поставляемых полуфабрикатов, продуктов питания.</w:t>
      </w:r>
    </w:p>
    <w:p w:rsidR="0090790A" w:rsidRPr="00C91637" w:rsidRDefault="0090790A" w:rsidP="0098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193" w:rsidRPr="00C91637" w:rsidRDefault="00BE6193" w:rsidP="00BE6193">
      <w:pPr>
        <w:tabs>
          <w:tab w:val="left" w:pos="284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Бытовые услуги</w:t>
      </w:r>
    </w:p>
    <w:p w:rsidR="00BE6193" w:rsidRPr="00C91637" w:rsidRDefault="00BE6193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бытовых услуг в январе - декабре 201</w:t>
      </w:r>
      <w:r w:rsidR="005A3B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 w:rsidR="005A3B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предварительной оценке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 </w:t>
      </w:r>
      <w:r w:rsidR="005A3B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87,9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руб., индекс физического объема к соответствующему периоду прошлого года -</w:t>
      </w:r>
      <w:r w:rsidR="0078164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81646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% (в январе - декабре 201</w:t>
      </w:r>
      <w:r w:rsidR="005A3B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5A3B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3B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103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и </w:t>
      </w:r>
      <w:r w:rsidR="005A3B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99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A3B0A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соответственно). </w:t>
      </w:r>
    </w:p>
    <w:p w:rsidR="00781646" w:rsidRDefault="00C91637" w:rsidP="00BE6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63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B4DEF" wp14:editId="1D699654">
                <wp:simplePos x="0" y="0"/>
                <wp:positionH relativeFrom="column">
                  <wp:posOffset>1152572</wp:posOffset>
                </wp:positionH>
                <wp:positionV relativeFrom="paragraph">
                  <wp:posOffset>34305</wp:posOffset>
                </wp:positionV>
                <wp:extent cx="3815080" cy="454395"/>
                <wp:effectExtent l="0" t="0" r="0" b="0"/>
                <wp:wrapNone/>
                <wp:docPr id="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080" cy="45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6193" w:rsidRPr="00C91637" w:rsidRDefault="00BE6193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Объем бытовых услуг в 201</w:t>
                            </w:r>
                            <w:r w:rsidR="00781646"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-201</w:t>
                            </w:r>
                            <w:r w:rsidR="00781646"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 </w:t>
                            </w:r>
                            <w:proofErr w:type="spell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г.</w:t>
                            </w:r>
                            <w:proofErr w:type="gram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</w:t>
                            </w:r>
                            <w:proofErr w:type="spellEnd"/>
                            <w:proofErr w:type="gramEnd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E6193" w:rsidRPr="00C91637" w:rsidRDefault="00BE6193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(млн. руб.)</w:t>
                            </w:r>
                          </w:p>
                          <w:p w:rsidR="00781646" w:rsidRDefault="00781646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</w:rPr>
                            </w:pPr>
                          </w:p>
                          <w:p w:rsidR="00781646" w:rsidRDefault="00781646" w:rsidP="00BE619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</w:rPr>
                            </w:pPr>
                          </w:p>
                          <w:p w:rsidR="00781646" w:rsidRDefault="00781646" w:rsidP="00BE6193">
                            <w:pPr>
                              <w:pStyle w:val="a5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27" type="#_x0000_t202" style="position:absolute;left:0;text-align:left;margin-left:90.75pt;margin-top:2.7pt;width:300.4pt;height:3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" filled="f" stroked="f">
                <v:textbox>
                  <w:txbxContent>
                    <w:p w:rsidR="00BE6193" w:rsidRPr="00C91637" w:rsidRDefault="00BE6193" w:rsidP="00BE6193">
                      <w:pPr>
                        <w:pStyle w:val="a5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Объем бытовых услуг в 201</w:t>
                      </w:r>
                      <w:r w:rsidR="00781646"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-201</w:t>
                      </w:r>
                      <w:r w:rsidR="00781646"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 xml:space="preserve">6 </w:t>
                      </w:r>
                      <w:proofErr w:type="spell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г.</w:t>
                      </w:r>
                      <w:proofErr w:type="gram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</w:t>
                      </w:r>
                      <w:proofErr w:type="spellEnd"/>
                      <w:proofErr w:type="gramEnd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E6193" w:rsidRPr="00C91637" w:rsidRDefault="00BE6193" w:rsidP="00BE6193">
                      <w:pPr>
                        <w:pStyle w:val="a5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(млн. руб.)</w:t>
                      </w:r>
                    </w:p>
                    <w:p w:rsidR="00781646" w:rsidRDefault="00781646" w:rsidP="00BE6193">
                      <w:pPr>
                        <w:pStyle w:val="a5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</w:rPr>
                      </w:pPr>
                    </w:p>
                    <w:p w:rsidR="00781646" w:rsidRDefault="00781646" w:rsidP="00BE6193">
                      <w:pPr>
                        <w:pStyle w:val="a5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</w:rPr>
                      </w:pPr>
                    </w:p>
                    <w:p w:rsidR="00781646" w:rsidRDefault="00781646" w:rsidP="00BE6193">
                      <w:pPr>
                        <w:pStyle w:val="a5"/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E6193" w:rsidRPr="00BE6193" w:rsidRDefault="00BE6193" w:rsidP="007816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93" w:rsidRPr="00BE6193" w:rsidRDefault="00476CD6" w:rsidP="00BE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70D49D" wp14:editId="5E9947CD">
            <wp:extent cx="4123620" cy="2316854"/>
            <wp:effectExtent l="0" t="0" r="0" b="762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336B" w:rsidRPr="00C91637" w:rsidRDefault="00BE6193" w:rsidP="00BE6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одного жителя в месяц оказывается бытовых услуг на сумму 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8 рублей (в январе - декабре 201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 w:rsidR="00EC4C7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E6193" w:rsidRPr="00C91637" w:rsidRDefault="00BE6193" w:rsidP="00BE6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Потребительский рынок бытовых услуг достаточно разнообразен. </w:t>
      </w:r>
      <w:proofErr w:type="gramStart"/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структуре предприятий бытовых услуг наибольший удельный вес приходится на парикмахерские услуги 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% (4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объекта), услуги по ремонту и техническому обслуживанию, мойке автотранспортных средств 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14,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% (2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ремонту и пошиву швейных, меховых, трикотажных изделий, головных уборов 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9,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4336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% (16 ателье и мастерских)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услуги по ремонту жилья – 9,3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% (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пунктов приема), 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по ремонту и пошиву обуви - 8,6% (14 мастерских</w:t>
      </w:r>
      <w:proofErr w:type="gramEnd"/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услуги по ремонту бытовых машин и приборов, радиоэлектронной аппаратуры, ЭВМ, металлоизделий - 8,0 % (13 мастерских), услуги ломбардов - 4,3 % (7 объектов), услуги фото - 3,7 % (6 объектов),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изготовлению и ремонту мебели 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% (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услуги проката, ритуальные услуги 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12D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(по 5 объектов). Доля других бытовых услуг занимает не более 1,0 % (услуги по ремонту и изготовлению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ювелирных изделий, услуги бань и душевых, услуги прачечных и чистки пухо-перовых изделий).</w:t>
      </w:r>
    </w:p>
    <w:p w:rsidR="00BE6193" w:rsidRPr="00C91637" w:rsidRDefault="00BE6193" w:rsidP="00BE61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 итогам 201</w:t>
      </w:r>
      <w:r w:rsidR="00AD122F"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6</w:t>
      </w: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года показатель обеспеченности населения основными видами бытовых услуг на 1 тыс. жителей составил 13,</w:t>
      </w:r>
      <w:r w:rsidR="00AD122F"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</w:t>
      </w: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рабоч</w:t>
      </w:r>
      <w:r w:rsidR="00D23A9D"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ее</w:t>
      </w: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мест</w:t>
      </w:r>
      <w:r w:rsidR="00D23A9D"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</w:t>
      </w: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при нормативе расчета предприятий 9 рабочих мест на 1 тыс. человек и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сравнении с предыдущим годом </w:t>
      </w:r>
      <w:r w:rsidR="00D23A9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сократил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на</w:t>
      </w:r>
      <w:r w:rsidR="00D23A9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23A9D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 %.</w:t>
      </w:r>
    </w:p>
    <w:p w:rsidR="00BE6193" w:rsidRPr="00C91637" w:rsidRDefault="00BE6193" w:rsidP="007B7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бытовых услуг развиваются наиболее востребованные виды услуг, </w:t>
      </w:r>
      <w:r w:rsidR="00D0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D0789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0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помощь квалифицированных специалистов: услуги парикмахерских, ремонт и техобслуживание транспортных средств, машин и оборудования, </w:t>
      </w:r>
      <w:r w:rsidR="007E2352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по ремонту и пошиву швейных изделий, ремонт и строительство жилья.</w:t>
      </w:r>
    </w:p>
    <w:p w:rsidR="00BE6193" w:rsidRPr="00C91637" w:rsidRDefault="00BE6193" w:rsidP="007B7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Достаточно развиты социально значимые бытовые услуги: по ремонту обуви, одежды, сложно</w:t>
      </w:r>
      <w:r w:rsidR="00D0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бытовой техники, фото услуги, парикмахерские. </w:t>
      </w:r>
      <w:r w:rsidR="007E2352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редприяти</w:t>
      </w:r>
      <w:r w:rsidR="007E2352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бытов</w:t>
      </w:r>
      <w:r w:rsidR="00D0789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</w:t>
      </w:r>
      <w:r w:rsidRPr="00C91637">
        <w:rPr>
          <w:rFonts w:ascii="Times New Roman" w:hAnsi="Times New Roman" w:cs="Times New Roman"/>
          <w:bCs/>
          <w:sz w:val="26"/>
          <w:szCs w:val="26"/>
        </w:rPr>
        <w:t xml:space="preserve">оказывают </w:t>
      </w:r>
      <w:r w:rsidR="007B7F6C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социально-незащищенной категории населения</w:t>
      </w:r>
      <w:r w:rsidR="007B7F6C" w:rsidRPr="00C916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1637">
        <w:rPr>
          <w:rFonts w:ascii="Times New Roman" w:hAnsi="Times New Roman" w:cs="Times New Roman"/>
          <w:bCs/>
          <w:sz w:val="26"/>
          <w:szCs w:val="26"/>
        </w:rPr>
        <w:t>льготные услуги</w:t>
      </w:r>
      <w:r w:rsidR="007E2352" w:rsidRPr="00C91637">
        <w:rPr>
          <w:rFonts w:ascii="Times New Roman" w:hAnsi="Times New Roman" w:cs="Times New Roman"/>
          <w:bCs/>
          <w:sz w:val="26"/>
          <w:szCs w:val="26"/>
        </w:rPr>
        <w:t xml:space="preserve"> по стрижке волос</w:t>
      </w:r>
      <w:r w:rsidRPr="00C91637">
        <w:rPr>
          <w:rFonts w:ascii="Times New Roman" w:hAnsi="Times New Roman" w:cs="Times New Roman"/>
          <w:bCs/>
          <w:sz w:val="26"/>
          <w:szCs w:val="26"/>
        </w:rPr>
        <w:t>, ремонт</w:t>
      </w:r>
      <w:r w:rsidR="007E2352" w:rsidRPr="00C91637">
        <w:rPr>
          <w:rFonts w:ascii="Times New Roman" w:hAnsi="Times New Roman" w:cs="Times New Roman"/>
          <w:bCs/>
          <w:sz w:val="26"/>
          <w:szCs w:val="26"/>
        </w:rPr>
        <w:t>у</w:t>
      </w:r>
      <w:r w:rsidRPr="00C91637">
        <w:rPr>
          <w:rFonts w:ascii="Times New Roman" w:hAnsi="Times New Roman" w:cs="Times New Roman"/>
          <w:bCs/>
          <w:sz w:val="26"/>
          <w:szCs w:val="26"/>
        </w:rPr>
        <w:t xml:space="preserve"> обуви, фото услуги</w:t>
      </w:r>
      <w:r w:rsidR="007B7F6C" w:rsidRPr="00C91637">
        <w:rPr>
          <w:rFonts w:ascii="Times New Roman" w:hAnsi="Times New Roman" w:cs="Times New Roman"/>
          <w:bCs/>
          <w:sz w:val="26"/>
          <w:szCs w:val="26"/>
        </w:rPr>
        <w:t>.</w:t>
      </w:r>
      <w:r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E6193" w:rsidRPr="00C91637" w:rsidRDefault="007B7F6C" w:rsidP="007B7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 условиях экономической нестабильности, снижения </w:t>
      </w:r>
      <w:r w:rsidR="00D0789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денежных </w:t>
      </w: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доходов у населения спрос на бытовые услуги сокращается, остаются востребованными только услуги по </w:t>
      </w:r>
      <w:r w:rsidR="00D0789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оказанию </w:t>
      </w: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ремонт</w:t>
      </w:r>
      <w:r w:rsidR="00D0789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а</w:t>
      </w:r>
      <w:r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изделий, многие индивидуальные предприниматели прекращают свою деятельность</w:t>
      </w:r>
      <w:r w:rsidR="00554754"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 В 2016 году прекратил</w:t>
      </w:r>
      <w:r w:rsidR="00D0789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и</w:t>
      </w:r>
      <w:r w:rsidR="00554754" w:rsidRPr="00C916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деятельность 12 предприятий бытовых услуг</w:t>
      </w:r>
      <w:r w:rsidR="00D0789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,</w:t>
      </w:r>
      <w:r w:rsidR="00554754" w:rsidRPr="00C91637">
        <w:rPr>
          <w:rFonts w:ascii="Times New Roman" w:hAnsi="Times New Roman" w:cs="Times New Roman"/>
          <w:sz w:val="26"/>
          <w:szCs w:val="26"/>
        </w:rPr>
        <w:t xml:space="preserve"> не выдержавшие конкуренции или оказывающие некачественные услуги: 6 предприятий по ремонту и изготовлению мебели, 7 предприятий по ремонту и строительству жилья (установка окон), 3 предприятия по ремонту автомобилей, ремонту сотовых телефонов.</w:t>
      </w:r>
      <w:r w:rsidR="00D0789E">
        <w:rPr>
          <w:rFonts w:ascii="Times New Roman" w:hAnsi="Times New Roman" w:cs="Times New Roman"/>
          <w:sz w:val="26"/>
          <w:szCs w:val="26"/>
        </w:rPr>
        <w:t xml:space="preserve"> </w:t>
      </w:r>
      <w:r w:rsidR="00D0789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протяжении ряда лет в городе не оказываются услуги по химической чистке одежды и головных уборов, </w:t>
      </w:r>
      <w:r w:rsidR="005E4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отсутствуют агентства по оказанию </w:t>
      </w:r>
      <w:r w:rsidR="00D0789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</w:t>
      </w:r>
      <w:r w:rsidR="005E4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0789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уборке </w:t>
      </w:r>
      <w:r w:rsidR="005E4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оформлении внутренних </w:t>
      </w:r>
      <w:r w:rsidR="00D0789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помещений, </w:t>
      </w:r>
      <w:r w:rsidR="005E4A4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обрядов (свадеб, юбилеев)</w:t>
      </w:r>
      <w:r w:rsidR="00D0789E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6193" w:rsidRPr="00C91637" w:rsidRDefault="00BE6193" w:rsidP="00BE61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sectPr w:rsidR="00BE6193" w:rsidRPr="00C91637" w:rsidSect="00B53D1E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1F" w:rsidRDefault="0095431F">
      <w:pPr>
        <w:spacing w:after="0" w:line="240" w:lineRule="auto"/>
      </w:pPr>
      <w:r>
        <w:separator/>
      </w:r>
    </w:p>
  </w:endnote>
  <w:endnote w:type="continuationSeparator" w:id="0">
    <w:p w:rsidR="0095431F" w:rsidRDefault="0095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18327"/>
      <w:docPartObj>
        <w:docPartGallery w:val="Page Numbers (Bottom of Page)"/>
        <w:docPartUnique/>
      </w:docPartObj>
    </w:sdtPr>
    <w:sdtEndPr/>
    <w:sdtContent>
      <w:p w:rsidR="00B53D1E" w:rsidRDefault="00B53D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AFC">
          <w:rPr>
            <w:noProof/>
          </w:rPr>
          <w:t>1</w:t>
        </w:r>
        <w:r>
          <w:fldChar w:fldCharType="end"/>
        </w:r>
      </w:p>
    </w:sdtContent>
  </w:sdt>
  <w:p w:rsidR="00B53D1E" w:rsidRDefault="00B53D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1F" w:rsidRDefault="0095431F">
      <w:pPr>
        <w:spacing w:after="0" w:line="240" w:lineRule="auto"/>
      </w:pPr>
      <w:r>
        <w:separator/>
      </w:r>
    </w:p>
  </w:footnote>
  <w:footnote w:type="continuationSeparator" w:id="0">
    <w:p w:rsidR="0095431F" w:rsidRDefault="00954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93"/>
    <w:rsid w:val="00001413"/>
    <w:rsid w:val="00043766"/>
    <w:rsid w:val="00063781"/>
    <w:rsid w:val="000637F2"/>
    <w:rsid w:val="000D48C3"/>
    <w:rsid w:val="000E4833"/>
    <w:rsid w:val="000F52AB"/>
    <w:rsid w:val="001320D1"/>
    <w:rsid w:val="00136EFC"/>
    <w:rsid w:val="0014336B"/>
    <w:rsid w:val="001A24D7"/>
    <w:rsid w:val="002E036D"/>
    <w:rsid w:val="00320F1C"/>
    <w:rsid w:val="00331B4B"/>
    <w:rsid w:val="00357811"/>
    <w:rsid w:val="00364D5A"/>
    <w:rsid w:val="00375F5D"/>
    <w:rsid w:val="003923DB"/>
    <w:rsid w:val="003F237E"/>
    <w:rsid w:val="00433207"/>
    <w:rsid w:val="00462095"/>
    <w:rsid w:val="00476CD6"/>
    <w:rsid w:val="004B30B9"/>
    <w:rsid w:val="004D4B62"/>
    <w:rsid w:val="0050651D"/>
    <w:rsid w:val="00554754"/>
    <w:rsid w:val="0055527E"/>
    <w:rsid w:val="005813F0"/>
    <w:rsid w:val="00590308"/>
    <w:rsid w:val="005A3B0A"/>
    <w:rsid w:val="005D6084"/>
    <w:rsid w:val="005E4A4E"/>
    <w:rsid w:val="00604FBC"/>
    <w:rsid w:val="00620462"/>
    <w:rsid w:val="0066031F"/>
    <w:rsid w:val="00682AB9"/>
    <w:rsid w:val="00687553"/>
    <w:rsid w:val="006A7F89"/>
    <w:rsid w:val="006B73AF"/>
    <w:rsid w:val="006E0C10"/>
    <w:rsid w:val="00774F44"/>
    <w:rsid w:val="00781646"/>
    <w:rsid w:val="007B6947"/>
    <w:rsid w:val="007B7F6C"/>
    <w:rsid w:val="007C3095"/>
    <w:rsid w:val="007E2352"/>
    <w:rsid w:val="0080587B"/>
    <w:rsid w:val="0084077B"/>
    <w:rsid w:val="00843C34"/>
    <w:rsid w:val="00851E93"/>
    <w:rsid w:val="00857C96"/>
    <w:rsid w:val="00863599"/>
    <w:rsid w:val="008A20EF"/>
    <w:rsid w:val="008C0E73"/>
    <w:rsid w:val="008C0E93"/>
    <w:rsid w:val="008C728F"/>
    <w:rsid w:val="008D3F6C"/>
    <w:rsid w:val="00904BC1"/>
    <w:rsid w:val="00905034"/>
    <w:rsid w:val="0090790A"/>
    <w:rsid w:val="00917F45"/>
    <w:rsid w:val="0095431F"/>
    <w:rsid w:val="009612DD"/>
    <w:rsid w:val="00982DA0"/>
    <w:rsid w:val="00987E76"/>
    <w:rsid w:val="009B5AFC"/>
    <w:rsid w:val="009C2057"/>
    <w:rsid w:val="009F3D16"/>
    <w:rsid w:val="00A1282E"/>
    <w:rsid w:val="00A46933"/>
    <w:rsid w:val="00A47C72"/>
    <w:rsid w:val="00A572F7"/>
    <w:rsid w:val="00A71095"/>
    <w:rsid w:val="00AD08D7"/>
    <w:rsid w:val="00AD122F"/>
    <w:rsid w:val="00AF4213"/>
    <w:rsid w:val="00B53D1E"/>
    <w:rsid w:val="00B71E5B"/>
    <w:rsid w:val="00BE6193"/>
    <w:rsid w:val="00C73E4E"/>
    <w:rsid w:val="00C91637"/>
    <w:rsid w:val="00CE48F5"/>
    <w:rsid w:val="00CE4929"/>
    <w:rsid w:val="00D0520C"/>
    <w:rsid w:val="00D0789E"/>
    <w:rsid w:val="00D23A9D"/>
    <w:rsid w:val="00D25404"/>
    <w:rsid w:val="00D67666"/>
    <w:rsid w:val="00DA3F28"/>
    <w:rsid w:val="00DB2D5B"/>
    <w:rsid w:val="00E332AF"/>
    <w:rsid w:val="00E42DC6"/>
    <w:rsid w:val="00EA295F"/>
    <w:rsid w:val="00EA70B8"/>
    <w:rsid w:val="00EA7964"/>
    <w:rsid w:val="00EC4C72"/>
    <w:rsid w:val="00ED0FB2"/>
    <w:rsid w:val="00F20C54"/>
    <w:rsid w:val="00F27B6F"/>
    <w:rsid w:val="00F603CE"/>
    <w:rsid w:val="00F85501"/>
    <w:rsid w:val="00FA295D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6193"/>
  </w:style>
  <w:style w:type="paragraph" w:styleId="a5">
    <w:name w:val="Normal (Web)"/>
    <w:basedOn w:val="a"/>
    <w:uiPriority w:val="99"/>
    <w:semiHidden/>
    <w:unhideWhenUsed/>
    <w:rsid w:val="00BE619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19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3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3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6193"/>
  </w:style>
  <w:style w:type="paragraph" w:styleId="a5">
    <w:name w:val="Normal (Web)"/>
    <w:basedOn w:val="a"/>
    <w:uiPriority w:val="99"/>
    <w:semiHidden/>
    <w:unhideWhenUsed/>
    <w:rsid w:val="00BE619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19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3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558E-2"/>
          <c:y val="0.10088608541882538"/>
          <c:w val="0.74444444444444446"/>
          <c:h val="0.64028656514964133"/>
        </c:manualLayout>
      </c:layout>
      <c:pie3DChart>
        <c:varyColors val="1"/>
        <c:ser>
          <c:idx val="0"/>
          <c:order val="0"/>
          <c:spPr>
            <a:solidFill>
              <a:srgbClr val="FFFF00"/>
            </a:solidFill>
          </c:spPr>
          <c:explosion val="40"/>
          <c:dPt>
            <c:idx val="0"/>
            <c:bubble3D val="0"/>
            <c:explosion val="27"/>
            <c:spPr>
              <a:solidFill>
                <a:srgbClr val="33CC33"/>
              </a:solidFill>
            </c:spPr>
          </c:dPt>
          <c:dPt>
            <c:idx val="1"/>
            <c:bubble3D val="0"/>
            <c:explosion val="27"/>
            <c:spPr>
              <a:solidFill>
                <a:srgbClr val="FF00FF"/>
              </a:solidFill>
            </c:spPr>
          </c:dPt>
          <c:dPt>
            <c:idx val="2"/>
            <c:bubble3D val="0"/>
            <c:explosion val="8"/>
            <c:spPr>
              <a:solidFill>
                <a:srgbClr val="00B0F0"/>
              </a:solidFill>
            </c:spPr>
          </c:dPt>
          <c:dLbls>
            <c:txPr>
              <a:bodyPr/>
              <a:lstStyle/>
              <a:p>
                <a:pPr>
                  <a:defRPr sz="105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Структура!$B$2:$D$2</c:f>
              <c:strCache>
                <c:ptCount val="3"/>
                <c:pt idx="0">
                  <c:v>Розничная торговля</c:v>
                </c:pt>
                <c:pt idx="1">
                  <c:v>Общественное питание</c:v>
                </c:pt>
                <c:pt idx="2">
                  <c:v>Бытовые услуги</c:v>
                </c:pt>
              </c:strCache>
            </c:strRef>
          </c:cat>
          <c:val>
            <c:numRef>
              <c:f>Структура!$B$3:$D$3</c:f>
              <c:numCache>
                <c:formatCode>General</c:formatCode>
                <c:ptCount val="3"/>
                <c:pt idx="0">
                  <c:v>134</c:v>
                </c:pt>
                <c:pt idx="1">
                  <c:v>51</c:v>
                </c:pt>
                <c:pt idx="2">
                  <c:v>162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28361636045494315"/>
          <c:y val="0.74568030272575525"/>
          <c:w val="0.39387817147856519"/>
          <c:h val="0.19105341136620449"/>
        </c:manualLayout>
      </c:layout>
      <c:overlay val="0"/>
      <c:txPr>
        <a:bodyPr/>
        <a:lstStyle/>
        <a:p>
          <a:pPr rtl="0">
            <a:defRPr b="1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618746492256564E-2"/>
          <c:y val="7.9594643083993222E-2"/>
          <c:w val="0.88992740333877729"/>
          <c:h val="0.7010174877565590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dLbl>
              <c:idx val="0"/>
              <c:layout>
                <c:manualLayout>
                  <c:x val="1.2359984550019312E-2"/>
                  <c:y val="-3.20182961692396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74971031286212E-2"/>
                  <c:y val="-3.430531732418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809965237543453E-2"/>
                  <c:y val="-3.8879359634076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товарооборот!$C$1:$E$1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товарооборот!$C$2:$E$2</c:f>
              <c:numCache>
                <c:formatCode>General</c:formatCode>
                <c:ptCount val="3"/>
                <c:pt idx="0">
                  <c:v>3.5</c:v>
                </c:pt>
                <c:pt idx="1">
                  <c:v>3.76</c:v>
                </c:pt>
                <c:pt idx="2">
                  <c:v>3.78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3853824"/>
        <c:axId val="203855360"/>
        <c:axId val="0"/>
      </c:bar3DChart>
      <c:catAx>
        <c:axId val="203853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3855360"/>
        <c:crosses val="autoZero"/>
        <c:auto val="1"/>
        <c:lblAlgn val="ctr"/>
        <c:lblOffset val="100"/>
        <c:noMultiLvlLbl val="0"/>
      </c:catAx>
      <c:valAx>
        <c:axId val="2038553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38538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FF00FF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1.6666666666666666E-2"/>
                  <c:y val="-1.8518518518518528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97E-2"/>
                  <c:y val="-2.7777777777777776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666666666666666E-2"/>
                  <c:y val="-2.3148148148148147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товарооборот!$C$5:$E$5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товарооборот!$C$6:$E$6</c:f>
              <c:numCache>
                <c:formatCode>General</c:formatCode>
                <c:ptCount val="3"/>
                <c:pt idx="0">
                  <c:v>231.3</c:v>
                </c:pt>
                <c:pt idx="1">
                  <c:v>237.3</c:v>
                </c:pt>
                <c:pt idx="2">
                  <c:v>244.4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1969536"/>
        <c:axId val="191979520"/>
        <c:axId val="0"/>
      </c:bar3DChart>
      <c:catAx>
        <c:axId val="1919695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solidFill>
            <a:sysClr val="window" lastClr="FFFFFF"/>
          </a:solidFill>
          <a:ln>
            <a:noFill/>
          </a:ln>
        </c:spPr>
        <c:txPr>
          <a:bodyPr/>
          <a:lstStyle/>
          <a:p>
            <a:pPr>
              <a:defRPr sz="105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1979520"/>
        <c:crosses val="autoZero"/>
        <c:auto val="1"/>
        <c:lblAlgn val="ctr"/>
        <c:lblOffset val="100"/>
        <c:noMultiLvlLbl val="0"/>
      </c:catAx>
      <c:valAx>
        <c:axId val="191979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19695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3888888888888864E-2"/>
                  <c:y val="-2.7777777777777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45E-2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00000000000001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товарооборот!$C$9:$E$9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товарооборот!$C$10:$E$10</c:f>
              <c:numCache>
                <c:formatCode>General</c:formatCode>
                <c:ptCount val="3"/>
                <c:pt idx="0">
                  <c:v>94.8</c:v>
                </c:pt>
                <c:pt idx="1">
                  <c:v>103</c:v>
                </c:pt>
                <c:pt idx="2">
                  <c:v>87.9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1914368"/>
        <c:axId val="191915904"/>
        <c:axId val="0"/>
      </c:bar3DChart>
      <c:catAx>
        <c:axId val="191914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000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91915904"/>
        <c:crosses val="autoZero"/>
        <c:auto val="1"/>
        <c:lblAlgn val="ctr"/>
        <c:lblOffset val="100"/>
        <c:noMultiLvlLbl val="0"/>
      </c:catAx>
      <c:valAx>
        <c:axId val="1919159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191436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0.00785</cdr:x>
      <cdr:y>0.04107</cdr:y>
    </cdr:from>
    <cdr:to>
      <cdr:x>0.97243</cdr:x>
      <cdr:y>0.12143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5894" y="129026"/>
          <a:ext cx="4410060" cy="252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Структура предприятий потребительского рынка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7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56</cp:revision>
  <cp:lastPrinted>2017-01-31T08:29:00Z</cp:lastPrinted>
  <dcterms:created xsi:type="dcterms:W3CDTF">2017-01-24T06:01:00Z</dcterms:created>
  <dcterms:modified xsi:type="dcterms:W3CDTF">2017-07-13T06:41:00Z</dcterms:modified>
</cp:coreProperties>
</file>