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Pr="00B06541" w:rsidRDefault="00542E51" w:rsidP="00B06541">
      <w:pPr>
        <w:pStyle w:val="a4"/>
        <w:spacing w:line="240" w:lineRule="atLeast"/>
        <w:ind w:firstLine="709"/>
        <w:rPr>
          <w:color w:val="000000" w:themeColor="text1"/>
        </w:rPr>
      </w:pPr>
      <w:r w:rsidRPr="00B06541">
        <w:rPr>
          <w:color w:val="000000" w:themeColor="text1"/>
        </w:rPr>
        <w:t xml:space="preserve">Администрация городского округа </w:t>
      </w:r>
    </w:p>
    <w:p w:rsidR="00542E51" w:rsidRPr="00B06541" w:rsidRDefault="00542E51" w:rsidP="00B06541">
      <w:pPr>
        <w:pStyle w:val="a4"/>
        <w:ind w:firstLine="709"/>
        <w:rPr>
          <w:color w:val="000000" w:themeColor="text1"/>
        </w:rPr>
      </w:pPr>
      <w:r w:rsidRPr="00B06541">
        <w:rPr>
          <w:color w:val="000000" w:themeColor="text1"/>
        </w:rPr>
        <w:t xml:space="preserve">муниципального образования </w:t>
      </w:r>
    </w:p>
    <w:p w:rsidR="00542E51" w:rsidRPr="00B06541" w:rsidRDefault="00542E51" w:rsidP="00B06541">
      <w:pPr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B06541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42E51" w:rsidRPr="00B06541" w:rsidRDefault="00542E51" w:rsidP="00B06541">
      <w:pPr>
        <w:ind w:right="1700" w:firstLine="709"/>
        <w:jc w:val="center"/>
        <w:rPr>
          <w:color w:val="000000" w:themeColor="text1"/>
        </w:rPr>
      </w:pPr>
    </w:p>
    <w:p w:rsidR="00542E51" w:rsidRPr="00B06541" w:rsidRDefault="00542E51" w:rsidP="00B06541">
      <w:pPr>
        <w:pStyle w:val="1"/>
        <w:ind w:firstLine="709"/>
        <w:rPr>
          <w:color w:val="000000" w:themeColor="text1"/>
          <w:spacing w:val="40"/>
          <w:sz w:val="36"/>
          <w:szCs w:val="36"/>
        </w:rPr>
      </w:pPr>
      <w:r w:rsidRPr="00B06541">
        <w:rPr>
          <w:color w:val="000000" w:themeColor="text1"/>
          <w:spacing w:val="40"/>
          <w:sz w:val="36"/>
          <w:szCs w:val="36"/>
        </w:rPr>
        <w:t>ПОСТАНОВЛЕНИЕ</w:t>
      </w:r>
    </w:p>
    <w:p w:rsidR="00542E51" w:rsidRPr="00B06541" w:rsidRDefault="00542E51" w:rsidP="00B06541">
      <w:pPr>
        <w:ind w:firstLine="709"/>
        <w:jc w:val="center"/>
        <w:rPr>
          <w:color w:val="000000" w:themeColor="text1"/>
          <w:sz w:val="36"/>
          <w:szCs w:val="36"/>
        </w:rPr>
      </w:pPr>
    </w:p>
    <w:tbl>
      <w:tblPr>
        <w:tblW w:w="0" w:type="auto"/>
        <w:tblInd w:w="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657"/>
        <w:gridCol w:w="1460"/>
      </w:tblGrid>
      <w:tr w:rsidR="00B06541" w:rsidRPr="00B06541" w:rsidTr="00853DEE">
        <w:trPr>
          <w:cantSplit/>
          <w:trHeight w:val="37"/>
        </w:trPr>
        <w:tc>
          <w:tcPr>
            <w:tcW w:w="391" w:type="dxa"/>
          </w:tcPr>
          <w:p w:rsidR="00542E51" w:rsidRPr="00B06541" w:rsidRDefault="00542E51" w:rsidP="00B06541">
            <w:pPr>
              <w:ind w:firstLine="709"/>
              <w:rPr>
                <w:color w:val="000000" w:themeColor="text1"/>
              </w:rPr>
            </w:pPr>
            <w:proofErr w:type="spellStart"/>
            <w:r w:rsidRPr="00B06541">
              <w:rPr>
                <w:color w:val="000000" w:themeColor="text1"/>
              </w:rPr>
              <w:t>О</w:t>
            </w:r>
            <w:r w:rsidR="00B06541">
              <w:rPr>
                <w:color w:val="000000" w:themeColor="text1"/>
              </w:rPr>
              <w:t>о</w:t>
            </w:r>
            <w:r w:rsidRPr="00B06541">
              <w:rPr>
                <w:color w:val="000000" w:themeColor="text1"/>
              </w:rPr>
              <w:t>т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541" w:rsidRDefault="00B06541" w:rsidP="00B06541">
            <w:pPr>
              <w:rPr>
                <w:color w:val="000000" w:themeColor="text1"/>
                <w:sz w:val="22"/>
                <w:szCs w:val="22"/>
              </w:rPr>
            </w:pPr>
          </w:p>
          <w:p w:rsidR="00542E51" w:rsidRPr="00B06541" w:rsidRDefault="00B06541" w:rsidP="00B06541">
            <w:pPr>
              <w:rPr>
                <w:color w:val="000000" w:themeColor="text1"/>
                <w:sz w:val="22"/>
                <w:szCs w:val="22"/>
              </w:rPr>
            </w:pPr>
            <w:r w:rsidRPr="00B06541">
              <w:rPr>
                <w:color w:val="000000" w:themeColor="text1"/>
                <w:sz w:val="22"/>
                <w:szCs w:val="22"/>
              </w:rPr>
              <w:t>16.07.2018</w:t>
            </w:r>
          </w:p>
        </w:tc>
        <w:tc>
          <w:tcPr>
            <w:tcW w:w="328" w:type="dxa"/>
          </w:tcPr>
          <w:p w:rsidR="00B06541" w:rsidRDefault="00542E51" w:rsidP="00B06541">
            <w:pPr>
              <w:ind w:firstLine="709"/>
              <w:jc w:val="center"/>
              <w:rPr>
                <w:color w:val="000000" w:themeColor="text1"/>
                <w:sz w:val="22"/>
                <w:szCs w:val="22"/>
              </w:rPr>
            </w:pPr>
            <w:r w:rsidRPr="00B06541">
              <w:rPr>
                <w:color w:val="000000" w:themeColor="text1"/>
                <w:sz w:val="22"/>
                <w:szCs w:val="22"/>
              </w:rPr>
              <w:t>№</w:t>
            </w:r>
          </w:p>
          <w:p w:rsidR="00542E51" w:rsidRPr="00B06541" w:rsidRDefault="00B06541" w:rsidP="00B0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541" w:rsidRDefault="00B06541" w:rsidP="00B06541">
            <w:pPr>
              <w:rPr>
                <w:color w:val="000000" w:themeColor="text1"/>
                <w:sz w:val="22"/>
                <w:szCs w:val="22"/>
              </w:rPr>
            </w:pPr>
          </w:p>
          <w:p w:rsidR="00542E51" w:rsidRPr="00B06541" w:rsidRDefault="00B06541" w:rsidP="00B06541">
            <w:pPr>
              <w:rPr>
                <w:color w:val="000000" w:themeColor="text1"/>
                <w:sz w:val="22"/>
                <w:szCs w:val="22"/>
              </w:rPr>
            </w:pPr>
            <w:r w:rsidRPr="00B06541">
              <w:rPr>
                <w:color w:val="000000" w:themeColor="text1"/>
                <w:sz w:val="22"/>
                <w:szCs w:val="22"/>
              </w:rPr>
              <w:t>110-37-687-18</w:t>
            </w:r>
          </w:p>
        </w:tc>
        <w:tc>
          <w:tcPr>
            <w:tcW w:w="1460" w:type="dxa"/>
            <w:vMerge w:val="restart"/>
          </w:tcPr>
          <w:p w:rsidR="00542E51" w:rsidRPr="00B06541" w:rsidRDefault="00542E51" w:rsidP="00B06541">
            <w:pPr>
              <w:ind w:firstLine="709"/>
              <w:jc w:val="center"/>
              <w:rPr>
                <w:color w:val="000000" w:themeColor="text1"/>
              </w:rPr>
            </w:pPr>
          </w:p>
        </w:tc>
      </w:tr>
      <w:tr w:rsidR="00B06541" w:rsidRPr="00B06541" w:rsidTr="00853DEE">
        <w:trPr>
          <w:cantSplit/>
          <w:trHeight w:val="37"/>
        </w:trPr>
        <w:tc>
          <w:tcPr>
            <w:tcW w:w="3778" w:type="dxa"/>
            <w:gridSpan w:val="4"/>
          </w:tcPr>
          <w:p w:rsidR="00542E51" w:rsidRPr="00B06541" w:rsidRDefault="00542E51" w:rsidP="00B06541">
            <w:pPr>
              <w:ind w:firstLine="709"/>
              <w:jc w:val="center"/>
              <w:rPr>
                <w:color w:val="000000" w:themeColor="text1"/>
              </w:rPr>
            </w:pPr>
            <w:r w:rsidRPr="00B06541">
              <w:rPr>
                <w:color w:val="000000" w:themeColor="text1"/>
              </w:rPr>
              <w:t>г. Саянск</w:t>
            </w:r>
          </w:p>
        </w:tc>
        <w:tc>
          <w:tcPr>
            <w:tcW w:w="1460" w:type="dxa"/>
            <w:vMerge/>
            <w:vAlign w:val="center"/>
          </w:tcPr>
          <w:p w:rsidR="00542E51" w:rsidRPr="00B06541" w:rsidRDefault="00542E51" w:rsidP="00B06541">
            <w:pPr>
              <w:ind w:firstLine="709"/>
              <w:rPr>
                <w:color w:val="000000" w:themeColor="text1"/>
              </w:rPr>
            </w:pPr>
          </w:p>
        </w:tc>
      </w:tr>
    </w:tbl>
    <w:p w:rsidR="00542E51" w:rsidRPr="00B06541" w:rsidRDefault="00542E51" w:rsidP="00B06541">
      <w:pPr>
        <w:tabs>
          <w:tab w:val="left" w:pos="-1673"/>
          <w:tab w:val="left" w:pos="-114"/>
          <w:tab w:val="left" w:pos="-1"/>
          <w:tab w:val="left" w:pos="9360"/>
        </w:tabs>
        <w:spacing w:line="240" w:lineRule="atLeast"/>
        <w:ind w:right="-5" w:firstLine="709"/>
        <w:jc w:val="both"/>
        <w:rPr>
          <w:color w:val="000000" w:themeColor="text1"/>
          <w:sz w:val="22"/>
          <w:szCs w:val="22"/>
        </w:rPr>
      </w:pPr>
      <w:r w:rsidRPr="00B06541">
        <w:rPr>
          <w:color w:val="000000" w:themeColor="text1"/>
          <w:sz w:val="22"/>
          <w:szCs w:val="22"/>
        </w:rPr>
        <w:t xml:space="preserve">О внесении изменений в постановление администрации городского округа муниципального образования «город Саянск» от 02.08.2017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6541">
        <w:rPr>
          <w:color w:val="000000" w:themeColor="text1"/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статьей 72 Земельного кодекса Российской Федерации,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</w:t>
      </w:r>
      <w:hyperlink r:id="rId6" w:history="1">
        <w:r w:rsidRPr="00B06541">
          <w:rPr>
            <w:color w:val="000000" w:themeColor="text1"/>
            <w:sz w:val="28"/>
            <w:szCs w:val="28"/>
          </w:rPr>
          <w:t>законом</w:t>
        </w:r>
      </w:hyperlink>
      <w:r w:rsidRPr="00B06541">
        <w:rPr>
          <w:color w:val="000000" w:themeColor="text1"/>
          <w:sz w:val="28"/>
          <w:szCs w:val="28"/>
        </w:rPr>
        <w:t xml:space="preserve"> от 26.12.2008 № 294-ФЗ «О защите прав юридических лиц и индивидуальных предпринимателей</w:t>
      </w:r>
      <w:proofErr w:type="gramEnd"/>
      <w:r w:rsidRPr="00B06541">
        <w:rPr>
          <w:color w:val="000000" w:themeColor="text1"/>
          <w:sz w:val="28"/>
          <w:szCs w:val="28"/>
        </w:rPr>
        <w:t xml:space="preserve"> при осуществлении государственного контроля (надзора) и муниципального контроля», Федеральным </w:t>
      </w:r>
      <w:hyperlink r:id="rId7" w:history="1">
        <w:r w:rsidRPr="00B06541">
          <w:rPr>
            <w:color w:val="000000" w:themeColor="text1"/>
            <w:sz w:val="28"/>
            <w:szCs w:val="28"/>
          </w:rPr>
          <w:t>законом</w:t>
        </w:r>
      </w:hyperlink>
      <w:r w:rsidRPr="00B06541">
        <w:rPr>
          <w:color w:val="000000" w:themeColor="text1"/>
          <w:sz w:val="28"/>
          <w:szCs w:val="28"/>
        </w:rPr>
        <w:t xml:space="preserve">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ПОСТАНОВЛЯЕТ:</w:t>
      </w:r>
    </w:p>
    <w:p w:rsidR="00542E51" w:rsidRPr="00B06541" w:rsidRDefault="00542E51" w:rsidP="00B06541">
      <w:pPr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 xml:space="preserve">1. </w:t>
      </w:r>
      <w:proofErr w:type="gramStart"/>
      <w:r w:rsidRPr="00B06541">
        <w:rPr>
          <w:color w:val="000000" w:themeColor="text1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02.08.2017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(далее постановление), (опубликовано в газете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«Саянские зори» от 10.08.2017 №31 (3945), (вкладыш «официальная информация» стр.15-16), от 13.08.2017 №32 (3946), (вкладыш «официальная информация» стр.1), в редакции постановления от 10.04.2018 № 110-37-327-18 (опубликованное в</w:t>
      </w:r>
      <w:proofErr w:type="gramEnd"/>
      <w:r w:rsidRPr="00B06541">
        <w:rPr>
          <w:color w:val="000000" w:themeColor="text1"/>
          <w:sz w:val="28"/>
          <w:szCs w:val="28"/>
        </w:rPr>
        <w:t xml:space="preserve"> газете «Саянские зори»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от 19.04.2018 № 15(3980) страница 3 (вкладыш), следующие изменения:</w:t>
      </w:r>
    </w:p>
    <w:p w:rsidR="00542E51" w:rsidRPr="00B06541" w:rsidRDefault="00B0654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42E51" w:rsidRPr="00B06541">
        <w:rPr>
          <w:color w:val="000000" w:themeColor="text1"/>
          <w:sz w:val="28"/>
          <w:szCs w:val="28"/>
        </w:rPr>
        <w:t xml:space="preserve">1.1. Главу 16 раздела </w:t>
      </w:r>
      <w:r w:rsidR="00542E51" w:rsidRPr="00B06541">
        <w:rPr>
          <w:color w:val="000000" w:themeColor="text1"/>
          <w:sz w:val="28"/>
          <w:szCs w:val="28"/>
          <w:lang w:val="en-US"/>
        </w:rPr>
        <w:t>III</w:t>
      </w:r>
      <w:r w:rsidR="00542E51" w:rsidRPr="00B06541">
        <w:rPr>
          <w:color w:val="000000" w:themeColor="text1"/>
          <w:sz w:val="28"/>
          <w:szCs w:val="28"/>
        </w:rPr>
        <w:t xml:space="preserve"> приложения к постановлению дополнить пунктами 16.12 и 16.13 следующего содержания:</w:t>
      </w:r>
    </w:p>
    <w:p w:rsidR="00542E51" w:rsidRPr="00B06541" w:rsidRDefault="00B0654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42E51" w:rsidRPr="00B06541">
        <w:rPr>
          <w:color w:val="000000" w:themeColor="text1"/>
          <w:sz w:val="28"/>
          <w:szCs w:val="28"/>
        </w:rPr>
        <w:t xml:space="preserve">«16.12. </w:t>
      </w:r>
      <w:proofErr w:type="gramStart"/>
      <w:r w:rsidR="00542E51" w:rsidRPr="00B06541">
        <w:rPr>
          <w:color w:val="000000" w:themeColor="text1"/>
          <w:sz w:val="28"/>
          <w:szCs w:val="28"/>
        </w:rPr>
        <w:t xml:space="preserve">В целях предупреждения нарушений субъектами проверки обязательных требований, устранения причин, факторов и условий, способствующих нарушениям обязательных требований, уполномоченный </w:t>
      </w:r>
      <w:r w:rsidR="00542E51" w:rsidRPr="00B06541">
        <w:rPr>
          <w:color w:val="000000" w:themeColor="text1"/>
          <w:sz w:val="28"/>
          <w:szCs w:val="28"/>
        </w:rPr>
        <w:lastRenderedPageBreak/>
        <w:t>орган осуществляет мероприятия по профилактике нарушений обязательных требований земельного законодательства в соответствии с ежегодно утверждаемой в срок до 1 ноября приказом руководителя уполномоченного органа программой профилактики нарушений.</w:t>
      </w:r>
      <w:proofErr w:type="gramEnd"/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16.13. В целях профилактики нарушений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обязательных требований уполномоченный орган: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1) обеспечивает размещение на официальном сайте администрации городского округа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муниципального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образования «город Саянск» в информационно-телекоммуникационной сети «Интернет» перечня нормативно-правовых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2) осуществляет информирование субъектов проверки по вопросам соблюдения обязательных требований земельного законодательства, в том числе посредством разработки и опубликования руководств по соблюдению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обязательных требований, проведения семинаров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и конференций, разъяснительной работы в средствах массовой информации и иными способами. В случае изменения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 xml:space="preserve">обязательных требований уполномоченный орган </w:t>
      </w:r>
      <w:proofErr w:type="gramStart"/>
      <w:r w:rsidRPr="00B06541">
        <w:rPr>
          <w:color w:val="000000" w:themeColor="text1"/>
          <w:sz w:val="28"/>
          <w:szCs w:val="28"/>
        </w:rPr>
        <w:t>подготавливает и распространяет</w:t>
      </w:r>
      <w:proofErr w:type="gramEnd"/>
      <w:r w:rsidRPr="00B06541">
        <w:rPr>
          <w:color w:val="000000" w:themeColor="text1"/>
          <w:sz w:val="28"/>
          <w:szCs w:val="28"/>
        </w:rPr>
        <w:t xml:space="preserve"> комментарии о содержании новых нормативно-правовых актов, устанавливающих обязательные требования, внесенных изменениях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в действующие акты, сроках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и порядках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обязательных требований;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6541">
        <w:rPr>
          <w:color w:val="000000" w:themeColor="text1"/>
          <w:sz w:val="28"/>
          <w:szCs w:val="28"/>
        </w:rPr>
        <w:t>3) обеспечивает регулярное (не реже одного раза в год) обобщение практики осуществления муниципального земельного контроля и размещение на официальном сайте администрации городского округа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муниципального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образования «город Саянск»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субъектами проверки в целях недопущения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таких нарушений;</w:t>
      </w:r>
      <w:proofErr w:type="gramEnd"/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4) выдает предостережения о недопустимости нарушения обязательных требований в соответствии с частями 5 – 7 статьи 8.2 Федерального закона № 294-ФЗ, если иной порядок не установлен федеральным законом</w:t>
      </w:r>
      <w:proofErr w:type="gramStart"/>
      <w:r w:rsidRPr="00B06541">
        <w:rPr>
          <w:color w:val="000000" w:themeColor="text1"/>
          <w:sz w:val="28"/>
          <w:szCs w:val="28"/>
        </w:rPr>
        <w:t>.».</w:t>
      </w:r>
      <w:proofErr w:type="gramEnd"/>
    </w:p>
    <w:p w:rsidR="00542E51" w:rsidRPr="00B06541" w:rsidRDefault="00B0654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42E51" w:rsidRPr="00B06541">
        <w:rPr>
          <w:color w:val="000000" w:themeColor="text1"/>
          <w:sz w:val="28"/>
          <w:szCs w:val="28"/>
        </w:rPr>
        <w:t xml:space="preserve">1.2. Раздел </w:t>
      </w:r>
      <w:r w:rsidR="00542E51" w:rsidRPr="00B06541">
        <w:rPr>
          <w:color w:val="000000" w:themeColor="text1"/>
          <w:sz w:val="28"/>
          <w:szCs w:val="28"/>
          <w:lang w:val="en-US"/>
        </w:rPr>
        <w:t>III</w:t>
      </w:r>
      <w:r w:rsidR="00542E51" w:rsidRPr="00B06541">
        <w:rPr>
          <w:color w:val="000000" w:themeColor="text1"/>
          <w:sz w:val="28"/>
          <w:szCs w:val="28"/>
        </w:rPr>
        <w:t xml:space="preserve"> приложения к постановлению дополнить главой 17 следующего содержания: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«Глава 17. ОРГАНИЗАЦИЯ И ПРОВЕДЕНИЕ ПЛАНОВЫХ (РЕЙДОВЫХ) ОСМОТРОВ, ОБСЛЕДОВАНИЯ ЗЕМЕЛЬНЫХ УЧАСТКОВ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 xml:space="preserve">17.1. Плановые (рейдовые) осмотры, обследования земельных участков проводятся должностным лицом или должностными лицами, уполномоченными на проведение плановых (рейдовых) осмотров, </w:t>
      </w:r>
      <w:r w:rsidRPr="00B06541">
        <w:rPr>
          <w:color w:val="000000" w:themeColor="text1"/>
          <w:sz w:val="28"/>
          <w:szCs w:val="28"/>
        </w:rPr>
        <w:lastRenderedPageBreak/>
        <w:t>обследований земельных участков в пределах своей компетенции на основании плановых (рейдовых) заданий.</w:t>
      </w:r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6541">
        <w:rPr>
          <w:color w:val="000000" w:themeColor="text1"/>
          <w:sz w:val="28"/>
          <w:szCs w:val="28"/>
        </w:rPr>
        <w:t>Порядок оформления и содержания плановых (рейдовых) заданий, оформление результатов плановых (рейдовых) осмотров, обследований земельных участков,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расположенных на территории городского округа муниципального образования «город Саянск», утвержден постановлением администрации городского округа муниципального образования «город Саянск» от 15.03.2017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№ 110-37-210-17 «Об утверждении порядка оформления</w:t>
      </w:r>
      <w:r w:rsidR="00B06541">
        <w:rPr>
          <w:color w:val="000000" w:themeColor="text1"/>
          <w:sz w:val="28"/>
          <w:szCs w:val="28"/>
        </w:rPr>
        <w:t xml:space="preserve"> </w:t>
      </w:r>
      <w:r w:rsidRPr="00B06541">
        <w:rPr>
          <w:color w:val="000000" w:themeColor="text1"/>
          <w:sz w:val="28"/>
          <w:szCs w:val="28"/>
        </w:rPr>
        <w:t>и содержания плановых (рейдовых) заданий, оформления результатов плановых (рейдовых) осмотров, обследований земельных участков».</w:t>
      </w:r>
      <w:proofErr w:type="gramEnd"/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 xml:space="preserve">17.2. </w:t>
      </w:r>
      <w:proofErr w:type="gramStart"/>
      <w:r w:rsidRPr="00B06541">
        <w:rPr>
          <w:color w:val="000000" w:themeColor="text1"/>
          <w:sz w:val="28"/>
          <w:szCs w:val="28"/>
        </w:rPr>
        <w:t>В случае выявления при проведении плановых (рейдовых) осмотров, обследований земельных участков нарушений требований земельного законодательства, должностное лицо или должностные лица, уполномоченные на проведения плановых (рейдовых) осмотров, обследований земельных участков доводят в письменной форме до сведения руководителя уполномоченного органа информацию о выявленных нарушениях для принятия решения о назначении внеплановой проверки субъекта проверки.</w:t>
      </w:r>
      <w:proofErr w:type="gramEnd"/>
    </w:p>
    <w:p w:rsidR="00542E51" w:rsidRPr="00B06541" w:rsidRDefault="00542E51" w:rsidP="00B065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17.3. В случае выявления при проведении плановых (рейдовых) осмотров, обследований земельных участков нарушений требований указанных частями 5 – 7 статьи 8.2 Федерального закона № 294-ФЗ должностные лица, уполномоченные на проведение плановых (рейдовых) осмотров, обследований земельных участков выдают предостережения о недопустимости нарушения</w:t>
      </w:r>
      <w:proofErr w:type="gramStart"/>
      <w:r w:rsidRPr="00B06541">
        <w:rPr>
          <w:color w:val="000000" w:themeColor="text1"/>
          <w:sz w:val="28"/>
          <w:szCs w:val="28"/>
        </w:rPr>
        <w:t>.».</w:t>
      </w:r>
      <w:proofErr w:type="gramEnd"/>
    </w:p>
    <w:p w:rsidR="00542E51" w:rsidRPr="00B06541" w:rsidRDefault="00542E51" w:rsidP="00B06541">
      <w:pPr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42E51" w:rsidRPr="00B06541" w:rsidRDefault="00542E51" w:rsidP="00B06541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541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542E51" w:rsidRPr="00B06541" w:rsidRDefault="00542E51" w:rsidP="00B0654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542E51" w:rsidRPr="00B06541" w:rsidRDefault="00542E51" w:rsidP="00B0654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542E51" w:rsidRPr="00B06541" w:rsidRDefault="00542E51" w:rsidP="00B06541">
      <w:pPr>
        <w:tabs>
          <w:tab w:val="left" w:pos="5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542E51" w:rsidRPr="00B06541" w:rsidRDefault="00542E51" w:rsidP="00B06541">
      <w:pPr>
        <w:tabs>
          <w:tab w:val="left" w:pos="540"/>
        </w:tabs>
        <w:ind w:firstLine="709"/>
        <w:jc w:val="both"/>
        <w:rPr>
          <w:color w:val="000000" w:themeColor="text1"/>
          <w:sz w:val="28"/>
          <w:szCs w:val="28"/>
        </w:rPr>
      </w:pPr>
      <w:r w:rsidRPr="00B06541">
        <w:rPr>
          <w:color w:val="000000" w:themeColor="text1"/>
          <w:sz w:val="28"/>
          <w:szCs w:val="28"/>
        </w:rPr>
        <w:t>образования «город Саянск»</w:t>
      </w:r>
      <w:r w:rsidRPr="00B06541">
        <w:rPr>
          <w:color w:val="000000" w:themeColor="text1"/>
          <w:sz w:val="28"/>
          <w:szCs w:val="28"/>
        </w:rPr>
        <w:tab/>
      </w:r>
      <w:r w:rsidR="00B06541">
        <w:rPr>
          <w:color w:val="000000" w:themeColor="text1"/>
          <w:sz w:val="28"/>
          <w:szCs w:val="28"/>
        </w:rPr>
        <w:t xml:space="preserve"> </w:t>
      </w:r>
      <w:proofErr w:type="spellStart"/>
      <w:r w:rsidRPr="00B06541">
        <w:rPr>
          <w:color w:val="000000" w:themeColor="text1"/>
          <w:sz w:val="28"/>
          <w:szCs w:val="28"/>
        </w:rPr>
        <w:t>О.В.Боровский</w:t>
      </w:r>
      <w:proofErr w:type="spellEnd"/>
    </w:p>
    <w:p w:rsidR="00542E51" w:rsidRPr="00B06541" w:rsidRDefault="00542E51" w:rsidP="00B06541">
      <w:pPr>
        <w:ind w:firstLine="709"/>
        <w:rPr>
          <w:color w:val="000000" w:themeColor="text1"/>
          <w:sz w:val="28"/>
          <w:szCs w:val="28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  <w:r w:rsidRPr="00B06541">
        <w:rPr>
          <w:color w:val="000000" w:themeColor="text1"/>
          <w:sz w:val="20"/>
          <w:szCs w:val="20"/>
        </w:rPr>
        <w:t xml:space="preserve">исп. </w:t>
      </w:r>
      <w:proofErr w:type="spellStart"/>
      <w:r w:rsidRPr="00B06541">
        <w:rPr>
          <w:color w:val="000000" w:themeColor="text1"/>
          <w:sz w:val="20"/>
          <w:szCs w:val="20"/>
        </w:rPr>
        <w:t>В.В.Филев</w:t>
      </w:r>
      <w:proofErr w:type="spellEnd"/>
      <w:r w:rsidRPr="00B06541">
        <w:rPr>
          <w:color w:val="000000" w:themeColor="text1"/>
          <w:sz w:val="20"/>
          <w:szCs w:val="20"/>
        </w:rPr>
        <w:t xml:space="preserve"> </w:t>
      </w:r>
    </w:p>
    <w:p w:rsidR="00542E51" w:rsidRPr="00B06541" w:rsidRDefault="00542E51" w:rsidP="00B0654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  <w:r w:rsidRPr="00B06541">
        <w:rPr>
          <w:color w:val="000000" w:themeColor="text1"/>
          <w:sz w:val="20"/>
          <w:szCs w:val="20"/>
        </w:rPr>
        <w:t>тел.52421</w:t>
      </w:r>
    </w:p>
    <w:sectPr w:rsidR="00542E51" w:rsidRPr="00B06541" w:rsidSect="00B0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4CF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2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E683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C0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607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CF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7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D65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6EC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585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0D31"/>
    <w:rsid w:val="0001603D"/>
    <w:rsid w:val="000235CF"/>
    <w:rsid w:val="00023E70"/>
    <w:rsid w:val="000313D8"/>
    <w:rsid w:val="00040D6E"/>
    <w:rsid w:val="000431E7"/>
    <w:rsid w:val="00046F35"/>
    <w:rsid w:val="00047476"/>
    <w:rsid w:val="00051DD8"/>
    <w:rsid w:val="00053B87"/>
    <w:rsid w:val="00057847"/>
    <w:rsid w:val="00065DE7"/>
    <w:rsid w:val="00072052"/>
    <w:rsid w:val="00072279"/>
    <w:rsid w:val="00073F14"/>
    <w:rsid w:val="00081CE3"/>
    <w:rsid w:val="00085DBC"/>
    <w:rsid w:val="000D337D"/>
    <w:rsid w:val="000E56F7"/>
    <w:rsid w:val="000E6586"/>
    <w:rsid w:val="00123FE4"/>
    <w:rsid w:val="0013224C"/>
    <w:rsid w:val="001662E5"/>
    <w:rsid w:val="00167E17"/>
    <w:rsid w:val="0017271C"/>
    <w:rsid w:val="001815B6"/>
    <w:rsid w:val="0019411E"/>
    <w:rsid w:val="0019412F"/>
    <w:rsid w:val="001A7190"/>
    <w:rsid w:val="001C3375"/>
    <w:rsid w:val="001C5BE5"/>
    <w:rsid w:val="001D5C3E"/>
    <w:rsid w:val="001F7D60"/>
    <w:rsid w:val="00200C69"/>
    <w:rsid w:val="002019EB"/>
    <w:rsid w:val="00210A90"/>
    <w:rsid w:val="00212327"/>
    <w:rsid w:val="00214B08"/>
    <w:rsid w:val="00217A0B"/>
    <w:rsid w:val="00223880"/>
    <w:rsid w:val="002270F7"/>
    <w:rsid w:val="0023624F"/>
    <w:rsid w:val="0023706D"/>
    <w:rsid w:val="00245709"/>
    <w:rsid w:val="0024701A"/>
    <w:rsid w:val="002560C8"/>
    <w:rsid w:val="002563B4"/>
    <w:rsid w:val="00273AD4"/>
    <w:rsid w:val="002742D7"/>
    <w:rsid w:val="00292960"/>
    <w:rsid w:val="002A0A8D"/>
    <w:rsid w:val="002B4D9B"/>
    <w:rsid w:val="002C03A3"/>
    <w:rsid w:val="002D642A"/>
    <w:rsid w:val="002E0AA5"/>
    <w:rsid w:val="002E57C4"/>
    <w:rsid w:val="00300608"/>
    <w:rsid w:val="00301FBD"/>
    <w:rsid w:val="003021B8"/>
    <w:rsid w:val="00312A8C"/>
    <w:rsid w:val="0033148D"/>
    <w:rsid w:val="00347EAA"/>
    <w:rsid w:val="00353CDA"/>
    <w:rsid w:val="003601C5"/>
    <w:rsid w:val="0036055E"/>
    <w:rsid w:val="00366BFE"/>
    <w:rsid w:val="00377734"/>
    <w:rsid w:val="0039336A"/>
    <w:rsid w:val="003A02E8"/>
    <w:rsid w:val="003A4F1E"/>
    <w:rsid w:val="003B1E8F"/>
    <w:rsid w:val="003C6AF2"/>
    <w:rsid w:val="003F006F"/>
    <w:rsid w:val="003F5593"/>
    <w:rsid w:val="00404813"/>
    <w:rsid w:val="00411E6E"/>
    <w:rsid w:val="0043684E"/>
    <w:rsid w:val="00444A70"/>
    <w:rsid w:val="00460F99"/>
    <w:rsid w:val="00462438"/>
    <w:rsid w:val="00465A2E"/>
    <w:rsid w:val="00477C4D"/>
    <w:rsid w:val="004975C9"/>
    <w:rsid w:val="004A3B53"/>
    <w:rsid w:val="004A7BFF"/>
    <w:rsid w:val="004B3704"/>
    <w:rsid w:val="004B6FD1"/>
    <w:rsid w:val="004B72CA"/>
    <w:rsid w:val="004C4524"/>
    <w:rsid w:val="004C4FEB"/>
    <w:rsid w:val="004C621E"/>
    <w:rsid w:val="004C7499"/>
    <w:rsid w:val="00502129"/>
    <w:rsid w:val="005055FE"/>
    <w:rsid w:val="00510A27"/>
    <w:rsid w:val="00531920"/>
    <w:rsid w:val="00542E51"/>
    <w:rsid w:val="005475D9"/>
    <w:rsid w:val="0056676E"/>
    <w:rsid w:val="0057708D"/>
    <w:rsid w:val="00584116"/>
    <w:rsid w:val="00591F7B"/>
    <w:rsid w:val="005925AB"/>
    <w:rsid w:val="005A3E70"/>
    <w:rsid w:val="005B1904"/>
    <w:rsid w:val="005B2423"/>
    <w:rsid w:val="005B5BC0"/>
    <w:rsid w:val="005D0825"/>
    <w:rsid w:val="005E460C"/>
    <w:rsid w:val="00606FE7"/>
    <w:rsid w:val="006176E6"/>
    <w:rsid w:val="00621F9B"/>
    <w:rsid w:val="0064267F"/>
    <w:rsid w:val="00660815"/>
    <w:rsid w:val="00667399"/>
    <w:rsid w:val="00672998"/>
    <w:rsid w:val="00673725"/>
    <w:rsid w:val="00691AAD"/>
    <w:rsid w:val="006C2680"/>
    <w:rsid w:val="006F5F10"/>
    <w:rsid w:val="006F6A88"/>
    <w:rsid w:val="007006DD"/>
    <w:rsid w:val="00701CAE"/>
    <w:rsid w:val="00705131"/>
    <w:rsid w:val="00706F0C"/>
    <w:rsid w:val="00713E92"/>
    <w:rsid w:val="00717C5E"/>
    <w:rsid w:val="007342D4"/>
    <w:rsid w:val="00734788"/>
    <w:rsid w:val="0074333D"/>
    <w:rsid w:val="00747B04"/>
    <w:rsid w:val="007522A1"/>
    <w:rsid w:val="007550F9"/>
    <w:rsid w:val="007552B6"/>
    <w:rsid w:val="00760542"/>
    <w:rsid w:val="0076173E"/>
    <w:rsid w:val="0079201A"/>
    <w:rsid w:val="007950A0"/>
    <w:rsid w:val="007B40B3"/>
    <w:rsid w:val="007B4DA2"/>
    <w:rsid w:val="007C17AB"/>
    <w:rsid w:val="007D3DA7"/>
    <w:rsid w:val="007F19F3"/>
    <w:rsid w:val="007F6C01"/>
    <w:rsid w:val="00800C20"/>
    <w:rsid w:val="00800C56"/>
    <w:rsid w:val="0081669F"/>
    <w:rsid w:val="0082124F"/>
    <w:rsid w:val="008235A4"/>
    <w:rsid w:val="00832E08"/>
    <w:rsid w:val="00835DDE"/>
    <w:rsid w:val="00845788"/>
    <w:rsid w:val="00853DEE"/>
    <w:rsid w:val="00882748"/>
    <w:rsid w:val="00883374"/>
    <w:rsid w:val="00886BF4"/>
    <w:rsid w:val="008A0CAB"/>
    <w:rsid w:val="008C37AE"/>
    <w:rsid w:val="008D77B5"/>
    <w:rsid w:val="008E0E14"/>
    <w:rsid w:val="00942DA1"/>
    <w:rsid w:val="009467C6"/>
    <w:rsid w:val="009511DB"/>
    <w:rsid w:val="009618BF"/>
    <w:rsid w:val="00964AEE"/>
    <w:rsid w:val="00976365"/>
    <w:rsid w:val="009A5867"/>
    <w:rsid w:val="009C29D6"/>
    <w:rsid w:val="009D161F"/>
    <w:rsid w:val="009D5301"/>
    <w:rsid w:val="009E0E2B"/>
    <w:rsid w:val="00A02321"/>
    <w:rsid w:val="00A02C02"/>
    <w:rsid w:val="00A178E5"/>
    <w:rsid w:val="00A306EE"/>
    <w:rsid w:val="00A35CB2"/>
    <w:rsid w:val="00A530EB"/>
    <w:rsid w:val="00A63129"/>
    <w:rsid w:val="00AA7AF5"/>
    <w:rsid w:val="00AD7178"/>
    <w:rsid w:val="00AE5B94"/>
    <w:rsid w:val="00AF1FAF"/>
    <w:rsid w:val="00B06541"/>
    <w:rsid w:val="00B12645"/>
    <w:rsid w:val="00B129D3"/>
    <w:rsid w:val="00B17453"/>
    <w:rsid w:val="00B30237"/>
    <w:rsid w:val="00B338D1"/>
    <w:rsid w:val="00B35B4A"/>
    <w:rsid w:val="00B436EC"/>
    <w:rsid w:val="00B4392B"/>
    <w:rsid w:val="00B46500"/>
    <w:rsid w:val="00B467EB"/>
    <w:rsid w:val="00B5064E"/>
    <w:rsid w:val="00B54F06"/>
    <w:rsid w:val="00B6597C"/>
    <w:rsid w:val="00BB0866"/>
    <w:rsid w:val="00BC2312"/>
    <w:rsid w:val="00BC2984"/>
    <w:rsid w:val="00BC3AC9"/>
    <w:rsid w:val="00BE5B23"/>
    <w:rsid w:val="00BF12B3"/>
    <w:rsid w:val="00BF3C20"/>
    <w:rsid w:val="00C01400"/>
    <w:rsid w:val="00C10DE5"/>
    <w:rsid w:val="00C22AB4"/>
    <w:rsid w:val="00C3352B"/>
    <w:rsid w:val="00C33FE8"/>
    <w:rsid w:val="00C575A3"/>
    <w:rsid w:val="00C66523"/>
    <w:rsid w:val="00C725EF"/>
    <w:rsid w:val="00C760D9"/>
    <w:rsid w:val="00C87E44"/>
    <w:rsid w:val="00C90323"/>
    <w:rsid w:val="00C90DA6"/>
    <w:rsid w:val="00C9301C"/>
    <w:rsid w:val="00C96657"/>
    <w:rsid w:val="00C97842"/>
    <w:rsid w:val="00CB051C"/>
    <w:rsid w:val="00CC7FBC"/>
    <w:rsid w:val="00CE2027"/>
    <w:rsid w:val="00CF4001"/>
    <w:rsid w:val="00D06986"/>
    <w:rsid w:val="00D11AC0"/>
    <w:rsid w:val="00D21186"/>
    <w:rsid w:val="00D22A2F"/>
    <w:rsid w:val="00D3132E"/>
    <w:rsid w:val="00D33D83"/>
    <w:rsid w:val="00D350A3"/>
    <w:rsid w:val="00D402BB"/>
    <w:rsid w:val="00D414EF"/>
    <w:rsid w:val="00D47A54"/>
    <w:rsid w:val="00D56645"/>
    <w:rsid w:val="00D61A33"/>
    <w:rsid w:val="00D61E25"/>
    <w:rsid w:val="00D75017"/>
    <w:rsid w:val="00D85C75"/>
    <w:rsid w:val="00D87DBB"/>
    <w:rsid w:val="00DA5BE6"/>
    <w:rsid w:val="00DB0233"/>
    <w:rsid w:val="00DC38B4"/>
    <w:rsid w:val="00DD2F2E"/>
    <w:rsid w:val="00DD6259"/>
    <w:rsid w:val="00E00302"/>
    <w:rsid w:val="00E16EB6"/>
    <w:rsid w:val="00E25C9C"/>
    <w:rsid w:val="00E309C0"/>
    <w:rsid w:val="00E45B53"/>
    <w:rsid w:val="00E4763F"/>
    <w:rsid w:val="00E50003"/>
    <w:rsid w:val="00E511A8"/>
    <w:rsid w:val="00E63961"/>
    <w:rsid w:val="00E704C5"/>
    <w:rsid w:val="00E718E8"/>
    <w:rsid w:val="00E73D64"/>
    <w:rsid w:val="00E76DDA"/>
    <w:rsid w:val="00E85CC4"/>
    <w:rsid w:val="00EA675C"/>
    <w:rsid w:val="00EC5C45"/>
    <w:rsid w:val="00EC67E0"/>
    <w:rsid w:val="00EE5E6C"/>
    <w:rsid w:val="00F05C9A"/>
    <w:rsid w:val="00F0651C"/>
    <w:rsid w:val="00F45A3A"/>
    <w:rsid w:val="00F73F95"/>
    <w:rsid w:val="00F749F9"/>
    <w:rsid w:val="00F75940"/>
    <w:rsid w:val="00F77740"/>
    <w:rsid w:val="00F91DCE"/>
    <w:rsid w:val="00F92E9C"/>
    <w:rsid w:val="00F94203"/>
    <w:rsid w:val="00FA1190"/>
    <w:rsid w:val="00FB4820"/>
    <w:rsid w:val="00FC233E"/>
    <w:rsid w:val="00FC5324"/>
    <w:rsid w:val="00FC5A64"/>
    <w:rsid w:val="00FD11B4"/>
    <w:rsid w:val="00FD5A59"/>
    <w:rsid w:val="00FD706A"/>
    <w:rsid w:val="00FE0892"/>
    <w:rsid w:val="00FE703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E30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0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E30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0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95835755DFFAA7C52FBC21D122FABE17DD06ECAB44C730CC5BEAC55B5157B635CEBD8FA0mDP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95835755DFFAA7C52FBC21D122FABE17DD06ECAB44C730CC5BEAC55B5157B635CEBD8FA0mDPF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2018-07-02T03:35:00Z</cp:lastPrinted>
  <dcterms:created xsi:type="dcterms:W3CDTF">2018-07-17T01:45:00Z</dcterms:created>
  <dcterms:modified xsi:type="dcterms:W3CDTF">2018-07-17T01:45:00Z</dcterms:modified>
</cp:coreProperties>
</file>