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CC1F93" w:rsidRPr="00CC1F93">
        <w:rPr>
          <w:sz w:val="24"/>
          <w:u w:val="single"/>
        </w:rPr>
        <w:t>01.</w:t>
      </w:r>
      <w:r w:rsidR="00CC1F93">
        <w:rPr>
          <w:sz w:val="24"/>
          <w:u w:val="single"/>
        </w:rPr>
        <w:t>02.2023</w:t>
      </w:r>
      <w:r>
        <w:rPr>
          <w:sz w:val="24"/>
        </w:rPr>
        <w:tab/>
        <w:t>№</w:t>
      </w:r>
      <w:r>
        <w:tab/>
      </w:r>
      <w:r w:rsidR="00CC1F93">
        <w:rPr>
          <w:sz w:val="24"/>
          <w:szCs w:val="24"/>
          <w:u w:val="single"/>
        </w:rPr>
        <w:t>110-37-102-23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 xml:space="preserve">постановлением Правительства РФ </w:t>
      </w:r>
      <w:r w:rsidR="00512801" w:rsidRPr="00A1609E">
        <w:rPr>
          <w:sz w:val="28"/>
          <w:szCs w:val="28"/>
        </w:rPr>
        <w:t xml:space="preserve">от </w:t>
      </w:r>
      <w:r w:rsidR="00A1609E" w:rsidRPr="00A1609E">
        <w:rPr>
          <w:sz w:val="28"/>
          <w:szCs w:val="28"/>
        </w:rPr>
        <w:t>30</w:t>
      </w:r>
      <w:r w:rsidR="00512801" w:rsidRPr="00A1609E">
        <w:rPr>
          <w:sz w:val="28"/>
          <w:szCs w:val="28"/>
        </w:rPr>
        <w:t>.01.202</w:t>
      </w:r>
      <w:r w:rsidR="00A1609E" w:rsidRPr="00A1609E">
        <w:rPr>
          <w:sz w:val="28"/>
          <w:szCs w:val="28"/>
        </w:rPr>
        <w:t>3</w:t>
      </w:r>
      <w:r w:rsidR="00512801" w:rsidRPr="00A1609E">
        <w:rPr>
          <w:sz w:val="28"/>
          <w:szCs w:val="28"/>
        </w:rPr>
        <w:t xml:space="preserve">№ </w:t>
      </w:r>
      <w:r w:rsidR="00A1609E" w:rsidRPr="00A1609E">
        <w:rPr>
          <w:sz w:val="28"/>
          <w:szCs w:val="28"/>
        </w:rPr>
        <w:t>119</w:t>
      </w:r>
      <w:r w:rsidR="00512801" w:rsidRPr="00A1609E">
        <w:rPr>
          <w:sz w:val="28"/>
          <w:szCs w:val="28"/>
        </w:rPr>
        <w:t xml:space="preserve"> </w:t>
      </w:r>
      <w:r w:rsidR="00512801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116FCE">
        <w:rPr>
          <w:sz w:val="28"/>
          <w:szCs w:val="28"/>
        </w:rPr>
        <w:t>3</w:t>
      </w:r>
      <w:r w:rsidR="00512801">
        <w:rPr>
          <w:sz w:val="28"/>
          <w:szCs w:val="28"/>
        </w:rPr>
        <w:t xml:space="preserve">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proofErr w:type="gramEnd"/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696E3E">
        <w:rPr>
          <w:sz w:val="28"/>
        </w:rPr>
        <w:t>01.02.2022</w:t>
      </w:r>
      <w:r w:rsidR="00B47FEC">
        <w:rPr>
          <w:sz w:val="28"/>
        </w:rPr>
        <w:t xml:space="preserve"> № 110-37-</w:t>
      </w:r>
      <w:r w:rsidR="00696E3E">
        <w:rPr>
          <w:sz w:val="28"/>
        </w:rPr>
        <w:t>110</w:t>
      </w:r>
      <w:r w:rsidR="00B47FEC">
        <w:rPr>
          <w:sz w:val="28"/>
        </w:rPr>
        <w:t>-2</w:t>
      </w:r>
      <w:r w:rsidR="00C9647E">
        <w:rPr>
          <w:sz w:val="28"/>
        </w:rPr>
        <w:t>2</w:t>
      </w:r>
      <w:bookmarkStart w:id="0" w:name="_GoBack"/>
      <w:bookmarkEnd w:id="0"/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696E3E">
        <w:rPr>
          <w:sz w:val="28"/>
        </w:rPr>
        <w:t>«Саянские з</w:t>
      </w:r>
      <w:r w:rsidR="009433F1">
        <w:rPr>
          <w:sz w:val="28"/>
        </w:rPr>
        <w:t xml:space="preserve">ори» </w:t>
      </w:r>
      <w:r w:rsidR="00B47FEC">
        <w:rPr>
          <w:sz w:val="28"/>
        </w:rPr>
        <w:t xml:space="preserve">№ </w:t>
      </w:r>
      <w:r w:rsidR="00696E3E">
        <w:rPr>
          <w:sz w:val="28"/>
        </w:rPr>
        <w:t>4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</w:t>
      </w:r>
      <w:r w:rsidR="00696E3E">
        <w:rPr>
          <w:sz w:val="28"/>
        </w:rPr>
        <w:t>0</w:t>
      </w:r>
      <w:r w:rsidR="00CC2E4B">
        <w:rPr>
          <w:sz w:val="28"/>
        </w:rPr>
        <w:t>.02.202</w:t>
      </w:r>
      <w:r w:rsidR="00696E3E">
        <w:rPr>
          <w:sz w:val="28"/>
        </w:rPr>
        <w:t>2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696E3E">
        <w:rPr>
          <w:sz w:val="28"/>
          <w:szCs w:val="28"/>
        </w:rPr>
        <w:t>3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CC1F93">
        <w:rPr>
          <w:sz w:val="24"/>
          <w:szCs w:val="24"/>
        </w:rPr>
        <w:t xml:space="preserve"> </w:t>
      </w:r>
      <w:r w:rsidR="00CC1F93">
        <w:rPr>
          <w:sz w:val="24"/>
          <w:szCs w:val="24"/>
          <w:u w:val="single"/>
        </w:rPr>
        <w:t xml:space="preserve">01.02.2023 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CC1F93">
        <w:rPr>
          <w:sz w:val="24"/>
          <w:szCs w:val="24"/>
          <w:u w:val="single"/>
        </w:rPr>
        <w:t>110-37-102-23</w:t>
      </w:r>
      <w:r w:rsidR="00E87376">
        <w:rPr>
          <w:sz w:val="24"/>
          <w:szCs w:val="24"/>
          <w:u w:val="single"/>
        </w:rPr>
        <w:t xml:space="preserve"> 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CC1F93" w:rsidRPr="00D34B36" w:rsidRDefault="00CC1F93" w:rsidP="00CC1F93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01.02.2023 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110-37-102-23 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</w:t>
            </w:r>
            <w:r w:rsidR="00E71122">
              <w:rPr>
                <w:color w:val="000000"/>
                <w:sz w:val="28"/>
                <w:szCs w:val="28"/>
              </w:rPr>
              <w:t>70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1505,65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2402,08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FE314B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5376,75</w:t>
            </w:r>
          </w:p>
          <w:p w:rsidR="00034D1F" w:rsidRPr="00B47FEC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5049,2</w:t>
            </w:r>
            <w:r w:rsidR="00E71122">
              <w:rPr>
                <w:color w:val="000000"/>
                <w:sz w:val="28"/>
                <w:szCs w:val="28"/>
              </w:rPr>
              <w:t>9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034D1F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9352,1</w:t>
            </w:r>
            <w:r w:rsidR="00E71122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CC1F93" w:rsidRPr="00D34B36" w:rsidRDefault="00CC1F93" w:rsidP="00CC1F93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01.02.2023 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110-37-102-23 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034D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</w:t>
            </w:r>
            <w:r w:rsidR="00E71122">
              <w:rPr>
                <w:color w:val="000000"/>
                <w:sz w:val="28"/>
                <w:szCs w:val="28"/>
              </w:rPr>
              <w:t>9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034D1F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204,90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034D1F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1141,57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2462,45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FE314B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5488,37</w:t>
            </w:r>
          </w:p>
          <w:p w:rsidR="00034D1F" w:rsidRDefault="00034D1F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5049,2</w:t>
            </w:r>
            <w:r w:rsidR="00E71122">
              <w:rPr>
                <w:color w:val="000000"/>
                <w:sz w:val="28"/>
                <w:szCs w:val="28"/>
              </w:rPr>
              <w:t>9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034D1F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9352,1</w:t>
            </w:r>
            <w:r w:rsidR="00E71122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30F52" w:rsidRDefault="00430F52">
      <w:pPr>
        <w:rPr>
          <w:sz w:val="28"/>
        </w:rPr>
      </w:pPr>
    </w:p>
    <w:sectPr w:rsidR="00430F52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4D1F"/>
    <w:rsid w:val="00035A7F"/>
    <w:rsid w:val="00070472"/>
    <w:rsid w:val="000914F7"/>
    <w:rsid w:val="00097C12"/>
    <w:rsid w:val="000B11D6"/>
    <w:rsid w:val="000C345F"/>
    <w:rsid w:val="000D6B35"/>
    <w:rsid w:val="000D6CA3"/>
    <w:rsid w:val="000E0C82"/>
    <w:rsid w:val="00116FCE"/>
    <w:rsid w:val="0012206E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10292"/>
    <w:rsid w:val="0034411F"/>
    <w:rsid w:val="003873D0"/>
    <w:rsid w:val="003A735A"/>
    <w:rsid w:val="00401EBB"/>
    <w:rsid w:val="00420389"/>
    <w:rsid w:val="00426C20"/>
    <w:rsid w:val="00430F52"/>
    <w:rsid w:val="00437B2E"/>
    <w:rsid w:val="00440CB5"/>
    <w:rsid w:val="0044283B"/>
    <w:rsid w:val="00474DEF"/>
    <w:rsid w:val="00482EBB"/>
    <w:rsid w:val="004A0887"/>
    <w:rsid w:val="004C21F7"/>
    <w:rsid w:val="004D7B40"/>
    <w:rsid w:val="004F5390"/>
    <w:rsid w:val="004F6BCA"/>
    <w:rsid w:val="00512801"/>
    <w:rsid w:val="0054138C"/>
    <w:rsid w:val="005459A3"/>
    <w:rsid w:val="005543A6"/>
    <w:rsid w:val="005601A9"/>
    <w:rsid w:val="00560758"/>
    <w:rsid w:val="00592DDC"/>
    <w:rsid w:val="005A5FB6"/>
    <w:rsid w:val="005B31A1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96E3E"/>
    <w:rsid w:val="006A73E0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1609E"/>
    <w:rsid w:val="00A3213E"/>
    <w:rsid w:val="00A3327E"/>
    <w:rsid w:val="00A451B5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A64A3"/>
    <w:rsid w:val="00BC1799"/>
    <w:rsid w:val="00C402A9"/>
    <w:rsid w:val="00C43C82"/>
    <w:rsid w:val="00C668E4"/>
    <w:rsid w:val="00C67D11"/>
    <w:rsid w:val="00C8373F"/>
    <w:rsid w:val="00C9647E"/>
    <w:rsid w:val="00CC1F93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71122"/>
    <w:rsid w:val="00E807A1"/>
    <w:rsid w:val="00E87376"/>
    <w:rsid w:val="00E91972"/>
    <w:rsid w:val="00EB7516"/>
    <w:rsid w:val="00ED102F"/>
    <w:rsid w:val="00EF76C4"/>
    <w:rsid w:val="00F40677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4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3</cp:revision>
  <cp:lastPrinted>2023-02-01T00:09:00Z</cp:lastPrinted>
  <dcterms:created xsi:type="dcterms:W3CDTF">2023-02-01T08:25:00Z</dcterms:created>
  <dcterms:modified xsi:type="dcterms:W3CDTF">2023-02-09T07:46:00Z</dcterms:modified>
</cp:coreProperties>
</file>