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2F" w:rsidRPr="00BB2AD9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Потребительский рынок города Саянска в 20</w:t>
      </w:r>
      <w:r w:rsidR="00351401" w:rsidRPr="00BB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F461F" w:rsidRPr="00BB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B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</w:p>
    <w:p w:rsidR="003D342F" w:rsidRPr="00560B0B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D5DB5" w:rsidRDefault="00EF461F" w:rsidP="00BB2A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Потребительский рынок состоит из трех основных сегментов: рынка розничной торговли, общественного питания и бытовых услуг. Взаимодействуя друг с другом, эти сегменты обеспечивают потребности населения</w:t>
      </w:r>
      <w:r w:rsidR="003E2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Саянска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создают возможности для успешного функционирования экономики. </w:t>
      </w:r>
    </w:p>
    <w:p w:rsidR="00EF461F" w:rsidRPr="00560B0B" w:rsidRDefault="00EF461F" w:rsidP="00BB2AD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60B0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Важнейшим направлением развития потребительского рынка и услуг города Саянска является совершенствование его инфраструктуры, предусматривающее создание комфортных условий проживания населения по месту жительства, повышение ка</w:t>
      </w:r>
      <w:r w:rsidR="00DD5D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чества и культуры обслуживания.</w:t>
      </w:r>
    </w:p>
    <w:p w:rsidR="00EF461F" w:rsidRPr="00560B0B" w:rsidRDefault="00EF461F" w:rsidP="00BB2A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Потребительский рынок города Саянска по состоянию на 01.01.2023 года представляет собой развитую сеть предприятий торговли, общественного питания и бытовых услуг различных типов, видов, форм и форматов, которая включает в себя </w:t>
      </w:r>
      <w:r w:rsidR="004C0CB7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323 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</w:t>
      </w:r>
      <w:r w:rsidR="004C0CB7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числе:</w:t>
      </w:r>
      <w:proofErr w:type="gramEnd"/>
    </w:p>
    <w:p w:rsidR="005532FC" w:rsidRPr="00560B0B" w:rsidRDefault="0038362E" w:rsidP="00BB2AD9">
      <w:pPr>
        <w:pStyle w:val="ad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32B41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2B41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предприятия стационарной 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розничной торговли</w:t>
      </w:r>
      <w:r w:rsidR="00A32B41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торговой площадью 4</w:t>
      </w:r>
      <w:r w:rsidR="00851803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32B41"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175,3</w:t>
      </w:r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56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38362E" w:rsidRPr="00560B0B" w:rsidRDefault="0038362E" w:rsidP="00BB2AD9">
      <w:pPr>
        <w:pStyle w:val="ad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32B41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 предприятий общественного питания на 3887</w:t>
      </w:r>
      <w:r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16487C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осадочных </w:t>
      </w:r>
      <w:r w:rsidR="005532FC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</w:t>
      </w:r>
      <w:r w:rsidR="00497CDE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8362E" w:rsidRDefault="00685708" w:rsidP="00BB2AD9">
      <w:pPr>
        <w:pStyle w:val="ad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C405A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43 предприятий 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бытов</w:t>
      </w:r>
      <w:r w:rsidR="00574E9F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 обслуживания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405A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населения 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4</w:t>
      </w:r>
      <w:r w:rsidR="009C405A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74B40" w:rsidRPr="00560B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820808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820808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8362E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5DB5" w:rsidRPr="00FD052F" w:rsidRDefault="000B65EF" w:rsidP="00E22E71">
      <w:pPr>
        <w:pStyle w:val="Default"/>
        <w:tabs>
          <w:tab w:val="left" w:pos="1418"/>
          <w:tab w:val="left" w:pos="1701"/>
          <w:tab w:val="left" w:pos="7655"/>
        </w:tabs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C6A906F" wp14:editId="5F33CEEF">
            <wp:extent cx="3644900" cy="2451100"/>
            <wp:effectExtent l="0" t="0" r="0" b="6350"/>
            <wp:docPr id="7" name="Диаграмма 7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6B64" w:rsidRPr="00013349" w:rsidRDefault="00B16B64" w:rsidP="00717444">
      <w:pPr>
        <w:shd w:val="clear" w:color="auto" w:fill="FDFDFD"/>
        <w:spacing w:before="75" w:after="225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потребительского </w:t>
      </w:r>
      <w:r w:rsidRPr="0001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 занято около 2 тыс</w:t>
      </w:r>
      <w:r w:rsidR="00EB7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</w:t>
      </w:r>
      <w:r w:rsidRPr="0001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что составляет </w:t>
      </w:r>
      <w:r w:rsidR="002F6A4F" w:rsidRPr="000E4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9,5</w:t>
      </w:r>
      <w:r w:rsidRPr="000E4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01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4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трудоспособного </w:t>
      </w:r>
      <w:r w:rsidRPr="0001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города.</w:t>
      </w:r>
    </w:p>
    <w:p w:rsidR="00A661B6" w:rsidRPr="00013349" w:rsidRDefault="00A661B6" w:rsidP="00A6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Розничная торговля</w:t>
      </w:r>
    </w:p>
    <w:p w:rsidR="00DF20BA" w:rsidRPr="00784510" w:rsidRDefault="00093E13" w:rsidP="007174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510">
        <w:rPr>
          <w:rFonts w:ascii="Times New Roman" w:hAnsi="Times New Roman" w:cs="Times New Roman"/>
          <w:sz w:val="28"/>
          <w:szCs w:val="28"/>
        </w:rPr>
        <w:t xml:space="preserve">Ведущую роль в удовлетворении покупательского спроса населения занимает розничная торговля, где </w:t>
      </w:r>
      <w:r w:rsidR="00A01855" w:rsidRPr="00784510">
        <w:rPr>
          <w:rFonts w:ascii="Times New Roman" w:hAnsi="Times New Roman" w:cs="Times New Roman"/>
          <w:sz w:val="28"/>
          <w:szCs w:val="28"/>
        </w:rPr>
        <w:t>с</w:t>
      </w:r>
      <w:r w:rsidR="00DF20BA" w:rsidRPr="00784510">
        <w:rPr>
          <w:rFonts w:ascii="Times New Roman" w:hAnsi="Times New Roman" w:cs="Times New Roman"/>
          <w:sz w:val="28"/>
          <w:szCs w:val="28"/>
        </w:rPr>
        <w:t xml:space="preserve">охраняется тенденция к устойчивому росту </w:t>
      </w:r>
      <w:r w:rsidRPr="00784510">
        <w:rPr>
          <w:rFonts w:ascii="Times New Roman" w:hAnsi="Times New Roman" w:cs="Times New Roman"/>
          <w:sz w:val="28"/>
          <w:szCs w:val="28"/>
        </w:rPr>
        <w:t>товаро</w:t>
      </w:r>
      <w:r w:rsidR="00DF20BA" w:rsidRPr="00784510">
        <w:rPr>
          <w:rFonts w:ascii="Times New Roman" w:hAnsi="Times New Roman" w:cs="Times New Roman"/>
          <w:sz w:val="28"/>
          <w:szCs w:val="28"/>
        </w:rPr>
        <w:t>оборота.</w:t>
      </w:r>
    </w:p>
    <w:p w:rsidR="00AE4ADB" w:rsidRPr="004D2CB3" w:rsidRDefault="00AE4ADB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предварительной оценке оборот розничной торговли в январе-декабре 202</w:t>
      </w:r>
      <w:r w:rsidR="004D2CB3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5 </w:t>
      </w:r>
      <w:r w:rsidR="004D2CB3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849,3</w:t>
      </w: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A647E6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2CB3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2CB3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>% к</w:t>
      </w:r>
      <w:r w:rsidR="004D2CB3"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аналогичного периода 2021 года</w:t>
      </w:r>
      <w:r w:rsidRPr="004D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844" w:rsidRDefault="00533B16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на душу населения</w:t>
      </w:r>
      <w:r w:rsidR="00B4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итогов Всероссийской переписи населения 2021 года)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838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товарооборот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F67C49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r w:rsidR="007136EA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2785">
        <w:rPr>
          <w:rFonts w:ascii="Times New Roman" w:eastAsia="Times New Roman" w:hAnsi="Times New Roman" w:cs="Times New Roman"/>
          <w:sz w:val="28"/>
          <w:szCs w:val="28"/>
          <w:lang w:eastAsia="ru-RU"/>
        </w:rPr>
        <w:t>3708</w:t>
      </w:r>
      <w:r w:rsidR="008E7265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8E7265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 (в 20</w:t>
      </w:r>
      <w:r w:rsidR="00F67C49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CB3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EE1585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7265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88B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2CB3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1079</w:t>
      </w:r>
      <w:r w:rsidR="00F67C49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2CB3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3C2B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руб./мес.).</w:t>
      </w:r>
      <w:r w:rsidR="007136EA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2BC" w:rsidRPr="004D2CB3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CB3">
        <w:rPr>
          <w:rFonts w:ascii="Times New Roman" w:hAnsi="Times New Roman" w:cs="Times New Roman"/>
          <w:b/>
        </w:rPr>
        <w:lastRenderedPageBreak/>
        <w:t xml:space="preserve">Оборот розничной торговли </w:t>
      </w:r>
      <w:r w:rsidR="00C804BD">
        <w:rPr>
          <w:rFonts w:ascii="Times New Roman" w:hAnsi="Times New Roman" w:cs="Times New Roman"/>
          <w:b/>
        </w:rPr>
        <w:t>в</w:t>
      </w:r>
      <w:r w:rsidRPr="004D2CB3">
        <w:rPr>
          <w:rFonts w:ascii="Times New Roman" w:hAnsi="Times New Roman" w:cs="Times New Roman"/>
          <w:b/>
        </w:rPr>
        <w:t xml:space="preserve"> 20</w:t>
      </w:r>
      <w:r w:rsidR="004D2CB3" w:rsidRPr="004D2CB3">
        <w:rPr>
          <w:rFonts w:ascii="Times New Roman" w:hAnsi="Times New Roman" w:cs="Times New Roman"/>
          <w:b/>
        </w:rPr>
        <w:t>20</w:t>
      </w:r>
      <w:r w:rsidRPr="004D2CB3">
        <w:rPr>
          <w:rFonts w:ascii="Times New Roman" w:hAnsi="Times New Roman" w:cs="Times New Roman"/>
          <w:b/>
        </w:rPr>
        <w:t>-20</w:t>
      </w:r>
      <w:r w:rsidR="002D3096" w:rsidRPr="004D2CB3">
        <w:rPr>
          <w:rFonts w:ascii="Times New Roman" w:hAnsi="Times New Roman" w:cs="Times New Roman"/>
          <w:b/>
        </w:rPr>
        <w:t>2</w:t>
      </w:r>
      <w:r w:rsidR="004D2CB3" w:rsidRPr="004D2CB3">
        <w:rPr>
          <w:rFonts w:ascii="Times New Roman" w:hAnsi="Times New Roman" w:cs="Times New Roman"/>
          <w:b/>
        </w:rPr>
        <w:t>2</w:t>
      </w:r>
      <w:r w:rsidR="00C804BD">
        <w:rPr>
          <w:rFonts w:ascii="Times New Roman" w:hAnsi="Times New Roman" w:cs="Times New Roman"/>
          <w:b/>
        </w:rPr>
        <w:t xml:space="preserve"> </w:t>
      </w:r>
      <w:r w:rsidRPr="004D2CB3">
        <w:rPr>
          <w:rFonts w:ascii="Times New Roman" w:hAnsi="Times New Roman" w:cs="Times New Roman"/>
          <w:b/>
        </w:rPr>
        <w:t>г</w:t>
      </w:r>
      <w:r w:rsidR="00C804BD">
        <w:rPr>
          <w:rFonts w:ascii="Times New Roman" w:hAnsi="Times New Roman" w:cs="Times New Roman"/>
          <w:b/>
        </w:rPr>
        <w:t>одах</w:t>
      </w:r>
    </w:p>
    <w:p w:rsidR="009E72BC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CB3">
        <w:rPr>
          <w:rFonts w:ascii="Times New Roman" w:hAnsi="Times New Roman" w:cs="Times New Roman"/>
          <w:b/>
        </w:rPr>
        <w:t>(млрд. руб.)</w:t>
      </w:r>
    </w:p>
    <w:p w:rsidR="00F70B47" w:rsidRPr="00EC231E" w:rsidRDefault="00F70B47" w:rsidP="009E72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5227" w:rsidRDefault="00F70B47" w:rsidP="00E22E71">
      <w:pPr>
        <w:pStyle w:val="ConsPlusNormal"/>
        <w:tabs>
          <w:tab w:val="left" w:pos="1560"/>
          <w:tab w:val="left" w:pos="1843"/>
          <w:tab w:val="left" w:pos="7797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6453A907" wp14:editId="71224545">
            <wp:extent cx="3943350" cy="224155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6F35" w:rsidRPr="00560B0B" w:rsidRDefault="00D424BB" w:rsidP="00717444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Сф</w:t>
      </w:r>
      <w:r w:rsidR="00726311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ормированная </w:t>
      </w:r>
      <w:r w:rsidR="00262F6E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</w:t>
      </w:r>
      <w:r w:rsidR="00726311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структура отрасли позволяет обеспечить население города всеми видами продовольственных и </w:t>
      </w:r>
      <w:r w:rsidR="005E1414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непродовольственн</w:t>
      </w:r>
      <w:r w:rsidR="00726311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ых товаров.</w:t>
      </w:r>
    </w:p>
    <w:p w:rsidR="00FC3023" w:rsidRPr="00560B0B" w:rsidRDefault="00262F6E" w:rsidP="00717444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По-прежнему доминирующее положение в отрасли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занимают магазины</w:t>
      </w:r>
      <w:r w:rsidR="00001F1C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форматов «шаговой доступности» и «магазин у дома», распо</w:t>
      </w:r>
      <w:r w:rsidR="00E00008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ложенные</w:t>
      </w:r>
      <w:r w:rsidR="00001F1C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023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на первых этажах и в цокольных помещениях многоквартирных</w:t>
      </w:r>
      <w:r w:rsidR="00001F1C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жилых дом</w:t>
      </w:r>
      <w:r w:rsidR="00FC3023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ов. </w:t>
      </w:r>
      <w:r w:rsidR="00326F3E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Данный формат включает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 продовольственных товаров торговой площадью</w:t>
      </w:r>
      <w:r w:rsidR="00EE1585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3164</w:t>
      </w:r>
      <w:r w:rsidR="00EE1585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3023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магазинов непродовольственных товаров торговой площадью 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396E94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3BBF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E1585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6E94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D424BB" w:rsidRPr="00560B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2CDD" w:rsidRPr="00EC231E" w:rsidRDefault="00885644" w:rsidP="00717444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Устойчивыми темпами развивается торговая сеть товаропроизводителей, таких как: Агрохолдинг «Саянский бройлер», СПК 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Окинский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», представительство СХАО 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Белореченское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», ООО 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Янта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(Иркутский 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масложиркомбинат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F3106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АО 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Зиминский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хлебозавод», ООО «Сибирский пекарь» (г. Черемхово), </w:t>
      </w:r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СЗС ППК «</w:t>
      </w:r>
      <w:proofErr w:type="spellStart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Сагаан</w:t>
      </w:r>
      <w:proofErr w:type="spellEnd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Гол» (</w:t>
      </w:r>
      <w:proofErr w:type="spellStart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нгарск</w:t>
      </w:r>
      <w:proofErr w:type="spellEnd"/>
      <w:r w:rsidR="00B7139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и др. В</w:t>
      </w:r>
      <w:r w:rsidR="007F2854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17F42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91D23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торговая сеть товаропроизводителей </w:t>
      </w:r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сократи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лась на </w:t>
      </w:r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</w:t>
      </w:r>
      <w:r w:rsidR="00FC3D20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2CDD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Больше всего на 7 единиц сократилась розничная торговая сеть ООО ТД «</w:t>
      </w:r>
      <w:proofErr w:type="spellStart"/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Окинский</w:t>
      </w:r>
      <w:proofErr w:type="spellEnd"/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работающая </w:t>
      </w:r>
      <w:r w:rsidR="000144D9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по принципу франчайзинга с СПК «</w:t>
      </w:r>
      <w:proofErr w:type="spellStart"/>
      <w:r w:rsidR="000144D9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Окинский</w:t>
      </w:r>
      <w:proofErr w:type="spellEnd"/>
      <w:r w:rsidR="000144D9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DD100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CDD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Собственная продукция в </w:t>
      </w:r>
      <w:r w:rsidR="000144D9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торговой сети товаропроизводителей </w:t>
      </w:r>
      <w:r w:rsidR="00222CDD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 по ценам на 1</w:t>
      </w:r>
      <w:r w:rsidR="00F15D92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22CDD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17164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22CDD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% ниже сложившихся в розничной сети города.</w:t>
      </w:r>
    </w:p>
    <w:p w:rsidR="00DF34C5" w:rsidRPr="00EC231E" w:rsidRDefault="003C4DEC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Успешно 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функциониру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 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город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торговая сеть </w:t>
      </w:r>
      <w:r w:rsidR="00B077C3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федеральных и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региональн</w:t>
      </w:r>
      <w:r w:rsidR="00370801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ритейлер</w:t>
      </w:r>
      <w:r w:rsidR="00143E5A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080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«Маяк»</w:t>
      </w:r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ркутск</w:t>
      </w:r>
      <w:proofErr w:type="spellEnd"/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продовольственных 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дискаунтер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«Хлеб Соль»</w:t>
      </w:r>
      <w:r w:rsidR="00E118D6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супермаркет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Слата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118D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 также</w:t>
      </w:r>
      <w:r w:rsidR="0037080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E5A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супермаркет «Абсолют» (г. Улан-Удэ). </w:t>
      </w:r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2E1C9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открыто </w:t>
      </w:r>
      <w:r w:rsidR="00370801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продовольственных </w:t>
      </w:r>
      <w:proofErr w:type="spellStart"/>
      <w:r w:rsidR="00967B29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искаунтеров</w:t>
      </w:r>
      <w:proofErr w:type="spellEnd"/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A4C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(«Хлеб Соль», «Светофор», «Хороший»</w:t>
      </w:r>
      <w:r w:rsidR="004F2F38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4F2F38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ЭкономиЯ</w:t>
      </w:r>
      <w:proofErr w:type="spellEnd"/>
      <w:r w:rsidR="004F2F38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0A4C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торговой площадью</w:t>
      </w:r>
      <w:r w:rsidR="0014486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5529</w:t>
      </w:r>
      <w:r w:rsidR="00C57FB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486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F38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F6464F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078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A7C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4B409C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</w:t>
      </w:r>
      <w:r w:rsidR="00873A7C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способствуют формированию в городе конкурентной среды, сдерживают рост цен на социально зна</w:t>
      </w:r>
      <w:r w:rsidR="001D0E3E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чимые продовольственные товары.</w:t>
      </w:r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5E3D" w:rsidRPr="00EC231E" w:rsidRDefault="00B613C0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Низкая платежеспособность населения способствует развитию магазинов </w:t>
      </w:r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непродовольственных товаров формата «</w:t>
      </w:r>
      <w:proofErr w:type="spellStart"/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Дискаунтер</w:t>
      </w:r>
      <w:proofErr w:type="spellEnd"/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», реализующи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широкий ассортимент товаров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массового спроса </w:t>
      </w:r>
      <w:r w:rsidR="00122B6E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2733B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обувь, одежда, </w:t>
      </w:r>
      <w:r w:rsidR="00C24577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бытовая химия</w:t>
      </w:r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зоотовары</w:t>
      </w:r>
      <w:proofErr w:type="spellEnd"/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, мебель</w:t>
      </w:r>
      <w:r w:rsidR="00122B6E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) с невысоким уровнем наценок</w:t>
      </w:r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24577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«Оазис», 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«Снова 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Обнова», </w:t>
      </w:r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Глория Джинс», «Кари», «</w:t>
      </w:r>
      <w:proofErr w:type="spellStart"/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Зоодисконт</w:t>
      </w:r>
      <w:proofErr w:type="spellEnd"/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FixPrais</w:t>
      </w:r>
      <w:proofErr w:type="spellEnd"/>
      <w:r w:rsidR="00DF34C5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912DC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Магазин п</w:t>
      </w:r>
      <w:r w:rsidR="009912DC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остоянных распродаж»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077B" w:rsidRPr="00EC231E" w:rsidRDefault="0095077B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Наряду с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непродовольственными 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дискаунтерами</w:t>
      </w:r>
      <w:proofErr w:type="spellEnd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продолжительное время </w:t>
      </w:r>
      <w:r w:rsidR="00CF060E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proofErr w:type="gram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proofErr w:type="gramEnd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функционируют магазины непродовольственных товаров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3EF4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высокой ценовой категории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 брэнд</w:t>
      </w:r>
      <w:r w:rsidR="00863EF4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63EF4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«Т</w:t>
      </w:r>
      <w:r w:rsidR="00640C69" w:rsidRPr="00EC231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URBA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- </w:t>
      </w:r>
      <w:r w:rsidR="00640C69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верхняя 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одежда</w:t>
      </w:r>
      <w:r w:rsidR="00640C69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аксессуары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Юничел</w:t>
      </w:r>
      <w:proofErr w:type="spellEnd"/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обувь,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Эльдорадо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DNS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Сеть техники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бытовая и цифровая техника,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Связной-Логистика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Теле</w:t>
      </w:r>
      <w:proofErr w:type="gram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="00C11BE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сотовые телефоны и аксессуары, 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Евро-Стиль</w:t>
      </w:r>
      <w:r w:rsidR="005B6930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«Эй-Би Мебель», «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Мир мебели</w:t>
      </w:r>
      <w:r w:rsidR="004B2AF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17164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17164" w:rsidRPr="00EC231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DaVita</w:t>
      </w:r>
      <w:r w:rsidR="00817164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4B2AF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AF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мебель и 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матрацы, </w:t>
      </w:r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ПродалитЪ</w:t>
      </w:r>
      <w:proofErr w:type="spellEnd"/>
      <w:r w:rsidR="00F17226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22B6E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книги и канцтовары</w:t>
      </w:r>
      <w:r w:rsidR="00562E48"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«Барабан» - игрушки</w:t>
      </w:r>
      <w:r w:rsidRPr="00EC23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517F" w:rsidRPr="00EC231E" w:rsidRDefault="004B1ED6" w:rsidP="0071744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Торговая площадь стационарных торговых объектов за 20</w:t>
      </w:r>
      <w:r w:rsidR="00C02B22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3794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</w:t>
      </w:r>
      <w:r w:rsidR="00C02B22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сократилась </w:t>
      </w:r>
      <w:r w:rsidR="00C3794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незначительно 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557EEE" w:rsidRP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3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% или на</w:t>
      </w:r>
      <w:r w:rsidR="003D7E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3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114</w:t>
      </w:r>
      <w:r w:rsid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,8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и составила </w:t>
      </w:r>
      <w:r w:rsidR="003E21FB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31929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175</w:t>
      </w:r>
      <w:r w:rsidR="00081640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(20</w:t>
      </w:r>
      <w:r w:rsidR="00557EEE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3794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3E21FB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57EEE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72</w:t>
      </w:r>
      <w:r w:rsidR="00C3794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90</w:t>
      </w:r>
      <w:r w:rsidR="003E21FB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3794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E21FB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.)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в том числе площадь торговых объектов по продаже продовольственных товаров</w:t>
      </w:r>
      <w:r w:rsidR="00881571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сократилась</w:t>
      </w:r>
      <w:r w:rsidR="00E118D6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9746D6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6101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% или на </w:t>
      </w:r>
      <w:r w:rsidR="00A1665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746D6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1665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1665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., а по 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продаже </w:t>
      </w:r>
      <w:r w:rsidR="00DE517F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непродовольственн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ых товаров </w:t>
      </w:r>
      <w:r w:rsidR="00A1665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возросла 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9746D6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D7E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63718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%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0D08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или на</w:t>
      </w:r>
      <w:r w:rsidR="00A16657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7E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28,5</w:t>
      </w:r>
      <w:r w:rsidR="00F80D08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0D08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="00F80D08"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0761E" w:rsidRPr="00EC231E" w:rsidRDefault="00D0761E" w:rsidP="0071744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Произошедшие изменения в структуре торговых площадей практически не повлияли на уровень обеспеченности населения города площадью стационарных торговых объектов.</w:t>
      </w:r>
    </w:p>
    <w:p w:rsidR="00D0761E" w:rsidRPr="00EC231E" w:rsidRDefault="00D0761E" w:rsidP="0071744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Фактическая обеспеченность населения площадью стационарных торговых объектов по-прежнему высока, составляет 1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326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на 1000 человек и превышает минимальный норматив в 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раза (норматив - 447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на 1000 человек), в том числе: по продовольственным товарам фактичес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кая обеспеченность составляет 352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на 1000 человек, что в 2,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раза превышает минимальный норматив (147 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на 1000 человек), по непродовольственными</w:t>
      </w:r>
      <w:proofErr w:type="gram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товарами 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974,8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на 1000 человек, что в 3</w:t>
      </w:r>
      <w:r w:rsidR="00CB10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,2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раза </w:t>
      </w:r>
      <w:r w:rsidRPr="00FC0C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превышает</w:t>
      </w:r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минимальный норматив (300 </w:t>
      </w:r>
      <w:proofErr w:type="spellStart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EC23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на 1000 человек). </w:t>
      </w:r>
    </w:p>
    <w:p w:rsidR="00C043BA" w:rsidRPr="00BB2AD9" w:rsidRDefault="00C043BA" w:rsidP="00D076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C231E" w:rsidRDefault="00530877" w:rsidP="002C795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A16622" w:rsidRPr="002C7952">
        <w:rPr>
          <w:rFonts w:ascii="Times New Roman" w:hAnsi="Times New Roman" w:cs="Times New Roman"/>
          <w:b/>
        </w:rPr>
        <w:t>беспеченность населения</w:t>
      </w:r>
      <w:r w:rsidR="009A764C">
        <w:rPr>
          <w:rFonts w:ascii="Times New Roman" w:hAnsi="Times New Roman" w:cs="Times New Roman"/>
          <w:b/>
        </w:rPr>
        <w:t xml:space="preserve"> </w:t>
      </w:r>
      <w:r w:rsidR="00A16622" w:rsidRPr="002C7952">
        <w:rPr>
          <w:rFonts w:ascii="Times New Roman" w:hAnsi="Times New Roman" w:cs="Times New Roman"/>
          <w:b/>
        </w:rPr>
        <w:t xml:space="preserve">площадью </w:t>
      </w:r>
      <w:proofErr w:type="gramStart"/>
      <w:r w:rsidR="009A764C">
        <w:rPr>
          <w:rFonts w:ascii="Times New Roman" w:hAnsi="Times New Roman" w:cs="Times New Roman"/>
          <w:b/>
        </w:rPr>
        <w:t>стационарных</w:t>
      </w:r>
      <w:proofErr w:type="gramEnd"/>
      <w:r w:rsidR="009A764C">
        <w:rPr>
          <w:rFonts w:ascii="Times New Roman" w:hAnsi="Times New Roman" w:cs="Times New Roman"/>
          <w:b/>
        </w:rPr>
        <w:t xml:space="preserve"> </w:t>
      </w:r>
      <w:r w:rsidR="00A16622" w:rsidRPr="002C7952">
        <w:rPr>
          <w:rFonts w:ascii="Times New Roman" w:hAnsi="Times New Roman" w:cs="Times New Roman"/>
          <w:b/>
        </w:rPr>
        <w:t xml:space="preserve">торговых </w:t>
      </w:r>
    </w:p>
    <w:p w:rsidR="00A1662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объектов в 20</w:t>
      </w:r>
      <w:r w:rsidR="00A34577">
        <w:rPr>
          <w:rFonts w:ascii="Times New Roman" w:hAnsi="Times New Roman" w:cs="Times New Roman"/>
          <w:b/>
        </w:rPr>
        <w:t>20</w:t>
      </w:r>
      <w:r w:rsidRPr="002C7952">
        <w:rPr>
          <w:rFonts w:ascii="Times New Roman" w:hAnsi="Times New Roman" w:cs="Times New Roman"/>
          <w:b/>
        </w:rPr>
        <w:t>-20</w:t>
      </w:r>
      <w:r w:rsidR="00F35BF4">
        <w:rPr>
          <w:rFonts w:ascii="Times New Roman" w:hAnsi="Times New Roman" w:cs="Times New Roman"/>
          <w:b/>
        </w:rPr>
        <w:t>2</w:t>
      </w:r>
      <w:r w:rsidR="00A34577">
        <w:rPr>
          <w:rFonts w:ascii="Times New Roman" w:hAnsi="Times New Roman" w:cs="Times New Roman"/>
          <w:b/>
        </w:rPr>
        <w:t>2</w:t>
      </w:r>
      <w:r w:rsidR="006A212E">
        <w:rPr>
          <w:rFonts w:ascii="Times New Roman" w:hAnsi="Times New Roman" w:cs="Times New Roman"/>
          <w:b/>
        </w:rPr>
        <w:t xml:space="preserve"> годах</w:t>
      </w:r>
      <w:r w:rsidR="00EC231E">
        <w:rPr>
          <w:rFonts w:ascii="Times New Roman" w:hAnsi="Times New Roman" w:cs="Times New Roman"/>
          <w:b/>
        </w:rPr>
        <w:t xml:space="preserve"> </w:t>
      </w:r>
      <w:r w:rsidRPr="002C7952">
        <w:rPr>
          <w:rFonts w:ascii="Times New Roman" w:hAnsi="Times New Roman" w:cs="Times New Roman"/>
          <w:b/>
        </w:rPr>
        <w:t>(</w:t>
      </w:r>
      <w:proofErr w:type="spellStart"/>
      <w:r w:rsidRPr="002C7952">
        <w:rPr>
          <w:rFonts w:ascii="Times New Roman" w:hAnsi="Times New Roman" w:cs="Times New Roman"/>
          <w:b/>
        </w:rPr>
        <w:t>кв.м</w:t>
      </w:r>
      <w:proofErr w:type="spellEnd"/>
      <w:r w:rsidRPr="002C7952">
        <w:rPr>
          <w:rFonts w:ascii="Times New Roman" w:hAnsi="Times New Roman" w:cs="Times New Roman"/>
          <w:b/>
        </w:rPr>
        <w:t>. на 1000 человек)</w:t>
      </w:r>
    </w:p>
    <w:p w:rsidR="00D933D8" w:rsidRPr="00D933D8" w:rsidRDefault="00D933D8" w:rsidP="002C795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5E3D" w:rsidRDefault="00CB1013" w:rsidP="00386B0C">
      <w:pPr>
        <w:pStyle w:val="a4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E4CF902" wp14:editId="19F9A5AF">
            <wp:extent cx="4311650" cy="28765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3B30" w:rsidRDefault="00DB3B30" w:rsidP="00386B0C">
      <w:pPr>
        <w:pStyle w:val="a4"/>
        <w:jc w:val="center"/>
        <w:rPr>
          <w:noProof/>
        </w:rPr>
      </w:pPr>
    </w:p>
    <w:p w:rsidR="00D11986" w:rsidRPr="00FC0C86" w:rsidRDefault="00E34CE2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</w:rPr>
        <w:lastRenderedPageBreak/>
        <w:t xml:space="preserve">В целях сдерживания инфляционных процессов на потребительском рынке города 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и содействия стабилизации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установленных полномочий осуществлялось информационно-аналитическое наблюдение за состоянием </w:t>
      </w:r>
      <w:r w:rsidR="00D1198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ассортимента и ценового диапазона</w:t>
      </w:r>
      <w:r w:rsidR="00D11986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198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значимых товаров</w:t>
      </w:r>
      <w:r w:rsidR="006E4A2B" w:rsidRPr="00FC0C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11986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1986" w:rsidRPr="00FC0C86">
        <w:rPr>
          <w:rFonts w:ascii="Times New Roman" w:eastAsia="Calibri" w:hAnsi="Times New Roman" w:cs="Times New Roman"/>
          <w:sz w:val="28"/>
          <w:szCs w:val="28"/>
          <w:lang w:eastAsia="ru-RU"/>
        </w:rPr>
        <w:t>Торговые объекты работали в обычном режиме, товары</w:t>
      </w:r>
      <w:r w:rsidR="00D1198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присутствовали в широком ассортименте и ценовом диапазоне, дефицит отсутствовал, потребительский спрос находился на обычном уровне.</w:t>
      </w:r>
    </w:p>
    <w:p w:rsidR="00BC656C" w:rsidRPr="00FC0C86" w:rsidRDefault="00BC656C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егиональными 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товаропроизводителями</w:t>
      </w:r>
      <w:r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торговыми сетями, отдельными индивидуальными предпринимателями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</w:t>
      </w:r>
      <w:r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продолжилась реализация 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проект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«Цена зафиксирована»</w:t>
      </w:r>
      <w:r w:rsidR="00575C05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75C05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Участниками проекта 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</w:t>
      </w:r>
      <w:r w:rsidR="00D65791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ималось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зафиксировать цены на отдельные виды продовольственных товаров</w:t>
      </w:r>
      <w:r w:rsidR="00F233D2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75C05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Каждый </w:t>
      </w:r>
      <w:r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них </w:t>
      </w:r>
      <w:r w:rsidR="00F40F1E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самостоятельно определя</w:t>
      </w:r>
      <w:r w:rsidR="008D09C3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 для себя перечень таких товаров и цену на них, исходя из своих возможностей.</w:t>
      </w:r>
      <w:r w:rsidR="00575C05" w:rsidRPr="00FC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D342F" w:rsidRPr="00FC0C86" w:rsidRDefault="003D342F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0C86">
        <w:rPr>
          <w:rFonts w:ascii="Times New Roman" w:eastAsia="Times New Roman" w:hAnsi="Times New Roman" w:cs="Times New Roman"/>
          <w:sz w:val="28"/>
          <w:szCs w:val="28"/>
        </w:rPr>
        <w:t>С целью привлечения индивидуальных предпринимателей, крестьянско-фермерских и личных подсобных хозяйств</w:t>
      </w:r>
      <w:r w:rsidR="006C33AA" w:rsidRPr="00FC0C86">
        <w:rPr>
          <w:rFonts w:ascii="Times New Roman" w:eastAsia="Times New Roman" w:hAnsi="Times New Roman" w:cs="Times New Roman"/>
          <w:sz w:val="28"/>
          <w:szCs w:val="28"/>
        </w:rPr>
        <w:t xml:space="preserve"> соседних муниципальных образований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производство продуктов питания проведено </w:t>
      </w:r>
      <w:r w:rsidR="00531A5C" w:rsidRPr="00FC0C8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сезонны</w:t>
      </w:r>
      <w:r w:rsidR="00531A5C" w:rsidRPr="00FC0C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ярмар</w:t>
      </w:r>
      <w:r w:rsidR="00531A5C" w:rsidRPr="00FC0C86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2 постоянно действующие ярмарки, 3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праздничн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1F19" w:rsidRPr="00FC0C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ярмарк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5C" w:rsidRPr="00FC0C86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ярмарк</w:t>
      </w:r>
      <w:r w:rsidR="00531A5C" w:rsidRPr="00FC0C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«выходного дня» по реализации картофеля, овощей, фруктов, зелени, ягод, грибов, меда, рыбы и рыботоваров, яйца, молока и молочной продукции, мясных полуфабрикатов, хлебобулочных, кулинарных и кондитерских изделий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, в которых приняли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proofErr w:type="gramEnd"/>
      <w:r w:rsidRPr="00FC0C86">
        <w:rPr>
          <w:rFonts w:ascii="Times New Roman" w:eastAsia="Times New Roman" w:hAnsi="Times New Roman" w:cs="Times New Roman"/>
          <w:sz w:val="28"/>
          <w:szCs w:val="28"/>
        </w:rPr>
        <w:t>: товаропроизводител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г. Саянска, КФХ и ЛПХ </w:t>
      </w:r>
      <w:proofErr w:type="spellStart"/>
      <w:r w:rsidRPr="00FC0C86">
        <w:rPr>
          <w:rFonts w:ascii="Times New Roman" w:eastAsia="Times New Roman" w:hAnsi="Times New Roman" w:cs="Times New Roman"/>
          <w:sz w:val="28"/>
          <w:szCs w:val="28"/>
        </w:rPr>
        <w:t>Зиминского</w:t>
      </w:r>
      <w:proofErr w:type="spellEnd"/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C86">
        <w:rPr>
          <w:rFonts w:ascii="Times New Roman" w:eastAsia="Times New Roman" w:hAnsi="Times New Roman" w:cs="Times New Roman"/>
          <w:sz w:val="28"/>
          <w:szCs w:val="28"/>
        </w:rPr>
        <w:t>Куйтунского</w:t>
      </w:r>
      <w:proofErr w:type="spellEnd"/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C86">
        <w:rPr>
          <w:rFonts w:ascii="Times New Roman" w:eastAsia="Times New Roman" w:hAnsi="Times New Roman" w:cs="Times New Roman"/>
          <w:sz w:val="28"/>
          <w:szCs w:val="28"/>
        </w:rPr>
        <w:t>Нукутского</w:t>
      </w:r>
      <w:proofErr w:type="spellEnd"/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538C" w:rsidRPr="00FC0C86">
        <w:rPr>
          <w:rFonts w:ascii="Times New Roman" w:eastAsia="Times New Roman" w:hAnsi="Times New Roman" w:cs="Times New Roman"/>
          <w:sz w:val="28"/>
          <w:szCs w:val="28"/>
        </w:rPr>
        <w:t>Балаганского</w:t>
      </w:r>
      <w:proofErr w:type="spellEnd"/>
      <w:r w:rsidR="001378CD" w:rsidRPr="00FC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378CD" w:rsidRPr="00FC0C86">
        <w:rPr>
          <w:rFonts w:ascii="Times New Roman" w:eastAsia="Times New Roman" w:hAnsi="Times New Roman" w:cs="Times New Roman"/>
          <w:sz w:val="28"/>
          <w:szCs w:val="28"/>
        </w:rPr>
        <w:t>Заларинского</w:t>
      </w:r>
      <w:proofErr w:type="spellEnd"/>
      <w:r w:rsidR="001378CD" w:rsidRPr="00FC0C86">
        <w:rPr>
          <w:rFonts w:ascii="Times New Roman" w:eastAsia="Times New Roman" w:hAnsi="Times New Roman" w:cs="Times New Roman"/>
          <w:sz w:val="28"/>
          <w:szCs w:val="28"/>
        </w:rPr>
        <w:t xml:space="preserve"> районов,</w:t>
      </w:r>
      <w:r w:rsidR="009E538C" w:rsidRPr="00FC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>садовод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и дачник</w:t>
      </w:r>
      <w:r w:rsidR="00F91DAA" w:rsidRPr="00FC0C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B6C60" w:rsidRPr="00560B0B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0B0B">
        <w:rPr>
          <w:rFonts w:ascii="Times New Roman" w:eastAsia="Times New Roman" w:hAnsi="Times New Roman" w:cs="Times New Roman"/>
          <w:b/>
          <w:lang w:eastAsia="ru-RU"/>
        </w:rPr>
        <w:t xml:space="preserve">Количество </w:t>
      </w:r>
      <w:r w:rsidR="004B7796" w:rsidRPr="00560B0B">
        <w:rPr>
          <w:rFonts w:ascii="Times New Roman" w:eastAsia="Times New Roman" w:hAnsi="Times New Roman" w:cs="Times New Roman"/>
          <w:b/>
          <w:lang w:eastAsia="ru-RU"/>
        </w:rPr>
        <w:t>ярмарок,</w:t>
      </w:r>
    </w:p>
    <w:p w:rsidR="00E06DED" w:rsidRPr="00560B0B" w:rsidRDefault="00AB6C60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0B0B">
        <w:rPr>
          <w:rFonts w:ascii="Times New Roman" w:eastAsia="Times New Roman" w:hAnsi="Times New Roman" w:cs="Times New Roman"/>
          <w:b/>
          <w:lang w:eastAsia="ru-RU"/>
        </w:rPr>
        <w:t>о</w:t>
      </w:r>
      <w:r w:rsidR="008E222F" w:rsidRPr="00560B0B">
        <w:rPr>
          <w:rFonts w:ascii="Times New Roman" w:eastAsia="Times New Roman" w:hAnsi="Times New Roman" w:cs="Times New Roman"/>
          <w:b/>
          <w:lang w:eastAsia="ru-RU"/>
        </w:rPr>
        <w:t>рганизованных</w:t>
      </w:r>
      <w:r w:rsidRPr="00560B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537F" w:rsidRPr="00560B0B">
        <w:rPr>
          <w:rFonts w:ascii="Times New Roman" w:eastAsia="Times New Roman" w:hAnsi="Times New Roman" w:cs="Times New Roman"/>
          <w:b/>
          <w:lang w:eastAsia="ru-RU"/>
        </w:rPr>
        <w:t xml:space="preserve">в Саянске </w:t>
      </w:r>
      <w:r w:rsidR="008E222F" w:rsidRPr="00560B0B">
        <w:rPr>
          <w:rFonts w:ascii="Times New Roman" w:eastAsia="Times New Roman" w:hAnsi="Times New Roman" w:cs="Times New Roman"/>
          <w:b/>
          <w:lang w:eastAsia="ru-RU"/>
        </w:rPr>
        <w:t>в 20</w:t>
      </w:r>
      <w:r w:rsidR="007D17E3" w:rsidRPr="00560B0B">
        <w:rPr>
          <w:rFonts w:ascii="Times New Roman" w:eastAsia="Times New Roman" w:hAnsi="Times New Roman" w:cs="Times New Roman"/>
          <w:b/>
          <w:lang w:eastAsia="ru-RU"/>
        </w:rPr>
        <w:t>20</w:t>
      </w:r>
      <w:r w:rsidR="008E222F" w:rsidRPr="00560B0B">
        <w:rPr>
          <w:rFonts w:ascii="Times New Roman" w:eastAsia="Times New Roman" w:hAnsi="Times New Roman" w:cs="Times New Roman"/>
          <w:b/>
          <w:lang w:eastAsia="ru-RU"/>
        </w:rPr>
        <w:t>-20</w:t>
      </w:r>
      <w:r w:rsidR="001D22D0" w:rsidRPr="00560B0B">
        <w:rPr>
          <w:rFonts w:ascii="Times New Roman" w:eastAsia="Times New Roman" w:hAnsi="Times New Roman" w:cs="Times New Roman"/>
          <w:b/>
          <w:lang w:eastAsia="ru-RU"/>
        </w:rPr>
        <w:t>2</w:t>
      </w:r>
      <w:r w:rsidR="007D17E3" w:rsidRPr="00560B0B">
        <w:rPr>
          <w:rFonts w:ascii="Times New Roman" w:eastAsia="Times New Roman" w:hAnsi="Times New Roman" w:cs="Times New Roman"/>
          <w:b/>
          <w:lang w:eastAsia="ru-RU"/>
        </w:rPr>
        <w:t>2</w:t>
      </w:r>
      <w:r w:rsidR="00613AE0" w:rsidRPr="00560B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222F" w:rsidRPr="00560B0B">
        <w:rPr>
          <w:rFonts w:ascii="Times New Roman" w:eastAsia="Times New Roman" w:hAnsi="Times New Roman" w:cs="Times New Roman"/>
          <w:b/>
          <w:lang w:eastAsia="ru-RU"/>
        </w:rPr>
        <w:t>г</w:t>
      </w:r>
      <w:r w:rsidR="00613AE0" w:rsidRPr="00560B0B">
        <w:rPr>
          <w:rFonts w:ascii="Times New Roman" w:eastAsia="Times New Roman" w:hAnsi="Times New Roman" w:cs="Times New Roman"/>
          <w:b/>
          <w:lang w:eastAsia="ru-RU"/>
        </w:rPr>
        <w:t>одах</w:t>
      </w:r>
    </w:p>
    <w:p w:rsidR="00724EA2" w:rsidRPr="0003205B" w:rsidRDefault="00724EA2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6DED" w:rsidRPr="00D813D1" w:rsidRDefault="007D17E3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7139E4" wp14:editId="18C6A823">
            <wp:extent cx="3689350" cy="2127250"/>
            <wp:effectExtent l="0" t="0" r="635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342F" w:rsidRPr="00FC0C86" w:rsidRDefault="003D342F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весенне-летний период 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функционировали 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«зелен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рынк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продаже 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 садоводов и дачников муниципального образования на оборудованных торговых прилавках около торгов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71AB2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71, магазина «</w:t>
      </w:r>
      <w:proofErr w:type="spellStart"/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Восточка</w:t>
      </w:r>
      <w:proofErr w:type="spellEnd"/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универсама «</w:t>
      </w:r>
      <w:r w:rsidR="004B7796"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Меркурий</w:t>
      </w:r>
      <w:r w:rsidRPr="00FC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3D342F" w:rsidRPr="00FC0C86" w:rsidRDefault="003D342F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качества товаров и культуры обслуживания населения проведены мероприятия:</w:t>
      </w:r>
    </w:p>
    <w:p w:rsidR="003D342F" w:rsidRPr="00FC0C86" w:rsidRDefault="00C877DA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D33FF9"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месячник</w:t>
      </w:r>
      <w:r w:rsidR="00D33FF9"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 и безопасности товаров и услуг (20</w:t>
      </w:r>
      <w:r w:rsidR="004B7796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1AB2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E3A12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). В период проведения месячников организ</w:t>
      </w:r>
      <w:r w:rsidR="005E3A12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>овывались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телефонные «горячие 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линии» </w:t>
      </w:r>
      <w:r w:rsidR="003D342F" w:rsidRPr="00FC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защиты прав потребителей, качества и безопасности ранних овощей и </w:t>
      </w:r>
      <w:r w:rsidR="003D342F" w:rsidRPr="00FC0C86">
        <w:rPr>
          <w:rFonts w:ascii="Times New Roman" w:hAnsi="Times New Roman" w:cs="Times New Roman"/>
          <w:sz w:val="28"/>
          <w:szCs w:val="28"/>
        </w:rPr>
        <w:t>фруктов, мяса и ин</w:t>
      </w:r>
      <w:r w:rsidR="00BE779B" w:rsidRPr="00FC0C86">
        <w:rPr>
          <w:rFonts w:ascii="Times New Roman" w:hAnsi="Times New Roman" w:cs="Times New Roman"/>
          <w:sz w:val="28"/>
          <w:szCs w:val="28"/>
        </w:rPr>
        <w:t>ой</w:t>
      </w:r>
      <w:r w:rsidR="003D342F" w:rsidRPr="00FC0C86">
        <w:rPr>
          <w:rFonts w:ascii="Times New Roman" w:hAnsi="Times New Roman" w:cs="Times New Roman"/>
          <w:sz w:val="28"/>
          <w:szCs w:val="28"/>
        </w:rPr>
        <w:t xml:space="preserve"> продук</w:t>
      </w:r>
      <w:r w:rsidR="00BE779B" w:rsidRPr="00FC0C86">
        <w:rPr>
          <w:rFonts w:ascii="Times New Roman" w:hAnsi="Times New Roman" w:cs="Times New Roman"/>
          <w:sz w:val="28"/>
          <w:szCs w:val="28"/>
        </w:rPr>
        <w:t>ции</w:t>
      </w:r>
      <w:r w:rsidR="003D342F" w:rsidRPr="00FC0C86">
        <w:rPr>
          <w:rFonts w:ascii="Times New Roman" w:hAnsi="Times New Roman" w:cs="Times New Roman"/>
          <w:sz w:val="28"/>
          <w:szCs w:val="28"/>
        </w:rPr>
        <w:t xml:space="preserve"> животно</w:t>
      </w:r>
      <w:r w:rsidR="00BE779B" w:rsidRPr="00FC0C86">
        <w:rPr>
          <w:rFonts w:ascii="Times New Roman" w:hAnsi="Times New Roman" w:cs="Times New Roman"/>
          <w:sz w:val="28"/>
          <w:szCs w:val="28"/>
        </w:rPr>
        <w:t>го происхождения</w:t>
      </w:r>
      <w:r w:rsidR="003D342F" w:rsidRPr="00FC0C86">
        <w:rPr>
          <w:rFonts w:ascii="Times New Roman" w:hAnsi="Times New Roman" w:cs="Times New Roman"/>
          <w:sz w:val="28"/>
          <w:szCs w:val="28"/>
        </w:rPr>
        <w:t>, пиротехнической продукции</w:t>
      </w:r>
      <w:r w:rsidR="005E3A12" w:rsidRPr="00FC0C86">
        <w:rPr>
          <w:rFonts w:ascii="Times New Roman" w:hAnsi="Times New Roman" w:cs="Times New Roman"/>
          <w:sz w:val="28"/>
          <w:szCs w:val="28"/>
        </w:rPr>
        <w:t>,</w:t>
      </w:r>
    </w:p>
    <w:p w:rsidR="00D33FF9" w:rsidRPr="00FC0C86" w:rsidRDefault="00221E96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0C86">
        <w:rPr>
          <w:rFonts w:ascii="Times New Roman" w:eastAsia="Times New Roman" w:hAnsi="Times New Roman" w:cs="Times New Roman"/>
          <w:sz w:val="28"/>
          <w:szCs w:val="28"/>
        </w:rPr>
        <w:t xml:space="preserve">- проводились 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D33FF9" w:rsidRPr="00FC0C8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F9" w:rsidRPr="00FC0C86">
        <w:rPr>
          <w:rFonts w:ascii="Times New Roman" w:eastAsia="Times New Roman" w:hAnsi="Times New Roman" w:cs="Times New Roman"/>
          <w:sz w:val="28"/>
          <w:szCs w:val="28"/>
        </w:rPr>
        <w:t xml:space="preserve">по пресечению размещения нестационарных торговых объектов вне Схемы размещения, </w:t>
      </w:r>
      <w:r w:rsidR="00D33FF9" w:rsidRPr="00FC0C86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Pr="00FC0C86">
        <w:rPr>
          <w:rFonts w:ascii="Times New Roman" w:hAnsi="Times New Roman" w:cs="Times New Roman"/>
          <w:sz w:val="28"/>
          <w:szCs w:val="28"/>
        </w:rPr>
        <w:t>12</w:t>
      </w:r>
      <w:r w:rsidR="00D33FF9" w:rsidRPr="00FC0C86">
        <w:rPr>
          <w:rFonts w:ascii="Times New Roman" w:hAnsi="Times New Roman" w:cs="Times New Roman"/>
          <w:sz w:val="28"/>
          <w:szCs w:val="28"/>
        </w:rPr>
        <w:t>.1</w:t>
      </w:r>
      <w:r w:rsidRPr="00FC0C86">
        <w:rPr>
          <w:rFonts w:ascii="Times New Roman" w:hAnsi="Times New Roman" w:cs="Times New Roman"/>
          <w:sz w:val="28"/>
          <w:szCs w:val="28"/>
        </w:rPr>
        <w:t>2</w:t>
      </w:r>
      <w:r w:rsidR="00D33FF9" w:rsidRPr="00FC0C86">
        <w:rPr>
          <w:rFonts w:ascii="Times New Roman" w:hAnsi="Times New Roman" w:cs="Times New Roman"/>
          <w:sz w:val="28"/>
          <w:szCs w:val="28"/>
        </w:rPr>
        <w:t>.201</w:t>
      </w:r>
      <w:r w:rsidRPr="00FC0C86">
        <w:rPr>
          <w:rFonts w:ascii="Times New Roman" w:hAnsi="Times New Roman" w:cs="Times New Roman"/>
          <w:sz w:val="28"/>
          <w:szCs w:val="28"/>
        </w:rPr>
        <w:t>9</w:t>
      </w:r>
      <w:r w:rsidR="00D33FF9" w:rsidRPr="00FC0C86">
        <w:rPr>
          <w:rFonts w:ascii="Times New Roman" w:hAnsi="Times New Roman" w:cs="Times New Roman"/>
          <w:sz w:val="28"/>
          <w:szCs w:val="28"/>
        </w:rPr>
        <w:t xml:space="preserve"> № 110-37-139</w:t>
      </w:r>
      <w:r w:rsidRPr="00FC0C86">
        <w:rPr>
          <w:rFonts w:ascii="Times New Roman" w:hAnsi="Times New Roman" w:cs="Times New Roman"/>
          <w:sz w:val="28"/>
          <w:szCs w:val="28"/>
        </w:rPr>
        <w:t>1</w:t>
      </w:r>
      <w:r w:rsidR="00D33FF9" w:rsidRPr="00FC0C86">
        <w:rPr>
          <w:rFonts w:ascii="Times New Roman" w:hAnsi="Times New Roman" w:cs="Times New Roman"/>
          <w:sz w:val="28"/>
          <w:szCs w:val="28"/>
        </w:rPr>
        <w:t>-1</w:t>
      </w:r>
      <w:r w:rsidRPr="00FC0C86">
        <w:rPr>
          <w:rFonts w:ascii="Times New Roman" w:hAnsi="Times New Roman" w:cs="Times New Roman"/>
          <w:sz w:val="28"/>
          <w:szCs w:val="28"/>
        </w:rPr>
        <w:t>9</w:t>
      </w:r>
      <w:r w:rsidR="00D33FF9" w:rsidRPr="00FC0C86">
        <w:rPr>
          <w:rFonts w:ascii="Times New Roman" w:hAnsi="Times New Roman" w:cs="Times New Roman"/>
          <w:sz w:val="28"/>
          <w:szCs w:val="28"/>
        </w:rPr>
        <w:t>, а также за соблюдением требований к организации продажи товаров на ярмарках, орг</w:t>
      </w:r>
      <w:r w:rsidR="00C877DA" w:rsidRPr="00FC0C86">
        <w:rPr>
          <w:rFonts w:ascii="Times New Roman" w:hAnsi="Times New Roman" w:cs="Times New Roman"/>
          <w:sz w:val="28"/>
          <w:szCs w:val="28"/>
        </w:rPr>
        <w:t>анизованных юридическими лицам</w:t>
      </w:r>
      <w:r w:rsidR="007A18E2" w:rsidRPr="00FC0C86">
        <w:rPr>
          <w:rFonts w:ascii="Times New Roman" w:hAnsi="Times New Roman" w:cs="Times New Roman"/>
          <w:sz w:val="28"/>
          <w:szCs w:val="28"/>
        </w:rPr>
        <w:t>и,</w:t>
      </w:r>
    </w:p>
    <w:p w:rsidR="00244606" w:rsidRPr="00FC0C86" w:rsidRDefault="003D342F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</w:rPr>
        <w:t xml:space="preserve">- в средствах массовой информации и на официальном сайте администрации размещалась информация по вопросам защиты прав потребителей, </w:t>
      </w:r>
      <w:r w:rsidR="007A18E2" w:rsidRPr="00FC0C86">
        <w:rPr>
          <w:rFonts w:ascii="Times New Roman" w:hAnsi="Times New Roman" w:cs="Times New Roman"/>
          <w:sz w:val="28"/>
          <w:szCs w:val="28"/>
        </w:rPr>
        <w:t>о</w:t>
      </w:r>
      <w:r w:rsidR="00927944" w:rsidRPr="00FC0C86">
        <w:rPr>
          <w:rFonts w:ascii="Times New Roman" w:hAnsi="Times New Roman" w:cs="Times New Roman"/>
          <w:sz w:val="28"/>
          <w:szCs w:val="28"/>
        </w:rPr>
        <w:t>б</w:t>
      </w:r>
      <w:r w:rsidR="007A18E2" w:rsidRPr="00FC0C86">
        <w:rPr>
          <w:rFonts w:ascii="Times New Roman" w:hAnsi="Times New Roman" w:cs="Times New Roman"/>
          <w:sz w:val="28"/>
          <w:szCs w:val="28"/>
        </w:rPr>
        <w:t xml:space="preserve"> обязательной маркировк</w:t>
      </w:r>
      <w:r w:rsidR="00927944" w:rsidRPr="00FC0C86">
        <w:rPr>
          <w:rFonts w:ascii="Times New Roman" w:hAnsi="Times New Roman" w:cs="Times New Roman"/>
          <w:sz w:val="28"/>
          <w:szCs w:val="28"/>
        </w:rPr>
        <w:t>е</w:t>
      </w:r>
      <w:r w:rsidR="007A18E2" w:rsidRPr="00FC0C86">
        <w:rPr>
          <w:rFonts w:ascii="Times New Roman" w:hAnsi="Times New Roman" w:cs="Times New Roman"/>
          <w:sz w:val="28"/>
          <w:szCs w:val="28"/>
        </w:rPr>
        <w:t xml:space="preserve"> </w:t>
      </w:r>
      <w:r w:rsidR="00927944" w:rsidRPr="00FC0C86">
        <w:rPr>
          <w:rFonts w:ascii="Times New Roman" w:hAnsi="Times New Roman" w:cs="Times New Roman"/>
          <w:sz w:val="28"/>
          <w:szCs w:val="28"/>
        </w:rPr>
        <w:t xml:space="preserve">средствами идентификации отдельных товаров, </w:t>
      </w:r>
      <w:r w:rsidRPr="00FC0C86">
        <w:rPr>
          <w:rFonts w:ascii="Times New Roman" w:hAnsi="Times New Roman" w:cs="Times New Roman"/>
          <w:sz w:val="28"/>
          <w:szCs w:val="28"/>
        </w:rPr>
        <w:t>информация о некачественн</w:t>
      </w:r>
      <w:r w:rsidR="00244606" w:rsidRPr="00FC0C86">
        <w:rPr>
          <w:rFonts w:ascii="Times New Roman" w:hAnsi="Times New Roman" w:cs="Times New Roman"/>
          <w:sz w:val="28"/>
          <w:szCs w:val="28"/>
        </w:rPr>
        <w:t>ых и фальсифицированных товарах, методические рекомендации по организации работы предприятий торговли.</w:t>
      </w:r>
    </w:p>
    <w:p w:rsidR="003D342F" w:rsidRPr="00FC0C86" w:rsidRDefault="003D342F" w:rsidP="007174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В результате пров</w:t>
      </w:r>
      <w:r w:rsidR="00613AE0" w:rsidRPr="00FC0C8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13AE0" w:rsidRPr="00FC0C86">
        <w:rPr>
          <w:rFonts w:ascii="Times New Roman" w:hAnsi="Times New Roman" w:cs="Times New Roman"/>
          <w:sz w:val="28"/>
          <w:szCs w:val="28"/>
          <w:lang w:eastAsia="ru-RU"/>
        </w:rPr>
        <w:t>енн</w:t>
      </w:r>
      <w:r w:rsidR="00244606" w:rsidRPr="00FC0C86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х мероприятий на потребительский рынок города не допу</w:t>
      </w:r>
      <w:r w:rsidR="00244606" w:rsidRPr="00FC0C86">
        <w:rPr>
          <w:rFonts w:ascii="Times New Roman" w:hAnsi="Times New Roman" w:cs="Times New Roman"/>
          <w:sz w:val="28"/>
          <w:szCs w:val="28"/>
          <w:lang w:eastAsia="ru-RU"/>
        </w:rPr>
        <w:t>ска</w:t>
      </w:r>
      <w:r w:rsidR="00613AE0" w:rsidRPr="00FC0C86">
        <w:rPr>
          <w:rFonts w:ascii="Times New Roman" w:hAnsi="Times New Roman" w:cs="Times New Roman"/>
          <w:sz w:val="28"/>
          <w:szCs w:val="28"/>
          <w:lang w:eastAsia="ru-RU"/>
        </w:rPr>
        <w:t>лись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некачеств</w:t>
      </w:r>
      <w:r w:rsidR="00244606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енные </w:t>
      </w:r>
      <w:r w:rsidR="00D31945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и фальсифицированные </w:t>
      </w:r>
      <w:r w:rsidR="00244606" w:rsidRPr="00FC0C86">
        <w:rPr>
          <w:rFonts w:ascii="Times New Roman" w:hAnsi="Times New Roman" w:cs="Times New Roman"/>
          <w:sz w:val="28"/>
          <w:szCs w:val="28"/>
          <w:lang w:eastAsia="ru-RU"/>
        </w:rPr>
        <w:t>пищевые продукты и товары.</w:t>
      </w:r>
    </w:p>
    <w:p w:rsidR="00EA3AEA" w:rsidRPr="00DB680D" w:rsidRDefault="00EA3AEA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342F" w:rsidRPr="00FC0C86" w:rsidRDefault="003D342F" w:rsidP="00516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0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Общественное питание</w:t>
      </w:r>
    </w:p>
    <w:p w:rsidR="009A3703" w:rsidRPr="00FC0C86" w:rsidRDefault="004807D7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предварительной оценке оборот 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 в январе - декабре 20</w:t>
      </w:r>
      <w:r w:rsidR="00DC176D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2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244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руб. или 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к соответствующему периоду прошлого года. В расчете на душу населения оборот общественного питания составил 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638</w:t>
      </w:r>
      <w:r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244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в месяц (в</w:t>
      </w:r>
      <w:r w:rsidR="0032244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январе-декабре 20</w:t>
      </w:r>
      <w:r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541</w:t>
      </w:r>
      <w:r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1E6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342F" w:rsidRPr="00FC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месяц)</w:t>
      </w:r>
      <w:r w:rsidR="00322446" w:rsidRPr="00FC0C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532CB" w:rsidRDefault="00D34053" w:rsidP="007174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BA621A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B792" wp14:editId="42B54E3B">
                <wp:simplePos x="0" y="0"/>
                <wp:positionH relativeFrom="column">
                  <wp:posOffset>799465</wp:posOffset>
                </wp:positionH>
                <wp:positionV relativeFrom="paragraph">
                  <wp:posOffset>60325</wp:posOffset>
                </wp:positionV>
                <wp:extent cx="4477385" cy="4191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8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42F" w:rsidRPr="00C91637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Оборот общественного питания в 20</w:t>
                            </w:r>
                            <w:r w:rsidR="00D501E6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</w:t>
                            </w:r>
                            <w:r w:rsidR="00C1057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D501E6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613AE0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r w:rsidR="00613AE0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одах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Pr="00C91637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.95pt;margin-top:4.75pt;width:352.5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" filled="f" stroked="f">
                <v:textbox>
                  <w:txbxContent>
                    <w:p w:rsidR="003D342F" w:rsidRPr="00C91637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Оборот общественного питания в 20</w:t>
                      </w:r>
                      <w:r w:rsidR="00D501E6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</w:t>
                      </w:r>
                      <w:r w:rsidR="00C1057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D501E6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613AE0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r w:rsidR="00613AE0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одах</w:t>
                      </w:r>
                    </w:p>
                    <w:p w:rsidR="003D342F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Pr="00C91637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2AD9" w:rsidRPr="00BB2AD9" w:rsidRDefault="001679DE" w:rsidP="00DA47F4">
      <w:pPr>
        <w:tabs>
          <w:tab w:val="left" w:pos="1560"/>
          <w:tab w:val="left" w:pos="1843"/>
          <w:tab w:val="left" w:pos="7371"/>
          <w:tab w:val="left" w:pos="7513"/>
          <w:tab w:val="left" w:pos="7655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A56DEE" wp14:editId="5C772FE1">
            <wp:extent cx="4127500" cy="2463800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2AD9" w:rsidRPr="00BB2AD9" w:rsidRDefault="003D342F" w:rsidP="00717444">
      <w:pPr>
        <w:tabs>
          <w:tab w:val="left" w:pos="1560"/>
          <w:tab w:val="left" w:pos="765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В городе осуществляют деятельность 5</w:t>
      </w:r>
      <w:r w:rsidR="0093297B" w:rsidRPr="00FC0C8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535AD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226A85" w:rsidRPr="00FC0C8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общественного питания</w:t>
      </w:r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3887 </w:t>
      </w:r>
      <w:proofErr w:type="spellStart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proofErr w:type="spellEnd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 год </w:t>
      </w:r>
      <w:r w:rsid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 объектов на 3946 </w:t>
      </w:r>
      <w:proofErr w:type="spellStart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п.мест</w:t>
      </w:r>
      <w:proofErr w:type="spellEnd"/>
      <w:r w:rsidR="00BB2AD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42F" w:rsidRPr="00FC0C86" w:rsidRDefault="00BA621A" w:rsidP="00717444">
      <w:pPr>
        <w:pStyle w:val="a4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ресторан на 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75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ест</w:t>
      </w:r>
      <w:proofErr w:type="spellEnd"/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D342F" w:rsidRPr="00FC0C86" w:rsidRDefault="003D342F" w:rsidP="00717444">
      <w:pPr>
        <w:pStyle w:val="a4"/>
        <w:numPr>
          <w:ilvl w:val="0"/>
          <w:numId w:val="2"/>
        </w:numPr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3297B" w:rsidRPr="00FC0C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кафе на </w:t>
      </w:r>
      <w:r w:rsidR="00594566" w:rsidRPr="00FC0C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3297B" w:rsidRPr="00FC0C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013C2" w:rsidRPr="00FC0C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0C86">
        <w:rPr>
          <w:rFonts w:ascii="Times New Roman" w:hAnsi="Times New Roman" w:cs="Times New Roman"/>
          <w:sz w:val="28"/>
          <w:szCs w:val="28"/>
          <w:lang w:eastAsia="ru-RU"/>
        </w:rPr>
        <w:t>п.</w:t>
      </w:r>
      <w:proofErr w:type="gramStart"/>
      <w:r w:rsidRPr="00FC0C86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3013C2" w:rsidRPr="00FC0C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D342F" w:rsidRPr="00FC0C86" w:rsidRDefault="0093297B" w:rsidP="00717444">
      <w:pPr>
        <w:pStyle w:val="a4"/>
        <w:numPr>
          <w:ilvl w:val="0"/>
          <w:numId w:val="2"/>
        </w:numPr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бар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на 1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71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3013C2" w:rsidRPr="00FC0C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34053" w:rsidRPr="008B31FB" w:rsidRDefault="00D34053" w:rsidP="00717444">
      <w:pPr>
        <w:pStyle w:val="ad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>16 столовых на 2</w:t>
      </w:r>
      <w:r w:rsidR="008E3301"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Start"/>
      <w:r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8B31F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31B18" w:rsidRPr="00FC0C86" w:rsidRDefault="0093297B" w:rsidP="00717444">
      <w:pPr>
        <w:pStyle w:val="a4"/>
        <w:numPr>
          <w:ilvl w:val="0"/>
          <w:numId w:val="2"/>
        </w:numPr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быстрого обслуживания</w:t>
      </w:r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31B18" w:rsidRPr="00FC0C86" w:rsidRDefault="0093297B" w:rsidP="008B31F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буфет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3013C2" w:rsidRPr="00FC0C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31B18" w:rsidRPr="00FC0C86" w:rsidRDefault="0093297B" w:rsidP="008B31F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D342F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закусочных на </w:t>
      </w:r>
      <w:r w:rsidR="00E80458" w:rsidRPr="00FC0C8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C0C86">
        <w:rPr>
          <w:rFonts w:ascii="Times New Roman" w:hAnsi="Times New Roman" w:cs="Times New Roman"/>
          <w:sz w:val="28"/>
          <w:szCs w:val="28"/>
          <w:lang w:eastAsia="ru-RU"/>
        </w:rPr>
        <w:t>87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A74790" w:rsidRPr="00FC0C86">
        <w:rPr>
          <w:rFonts w:ascii="Times New Roman" w:hAnsi="Times New Roman" w:cs="Times New Roman"/>
          <w:sz w:val="28"/>
          <w:szCs w:val="28"/>
          <w:lang w:eastAsia="ru-RU"/>
        </w:rPr>
        <w:t>.,</w:t>
      </w:r>
    </w:p>
    <w:p w:rsidR="003D342F" w:rsidRPr="00FC0C86" w:rsidRDefault="0093297B" w:rsidP="008B31F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0C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магазин</w:t>
      </w:r>
      <w:r w:rsidR="00BB2AD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31B18" w:rsidRPr="00FC0C86">
        <w:rPr>
          <w:rFonts w:ascii="Times New Roman" w:hAnsi="Times New Roman" w:cs="Times New Roman"/>
          <w:sz w:val="28"/>
          <w:szCs w:val="28"/>
          <w:lang w:eastAsia="ru-RU"/>
        </w:rPr>
        <w:t xml:space="preserve"> (отдела) кулинарии</w:t>
      </w:r>
      <w:r w:rsidR="00F535AD" w:rsidRPr="00FC0C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068C" w:rsidRPr="00BB2AD9" w:rsidRDefault="0093297B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произошли незначительные изменения в структуре предприятий общественного питания. </w:t>
      </w:r>
      <w:r w:rsid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F2EF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акрылись</w:t>
      </w:r>
      <w:r w:rsid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2EF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D66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4 объекта</w:t>
      </w:r>
      <w:r w:rsidR="00EF2EF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342F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ресторан «Лунный свет» на 87 </w:t>
      </w:r>
      <w:proofErr w:type="spellStart"/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</w:t>
      </w:r>
      <w:r w:rsidR="00E8702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31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9068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5BA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031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031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7D031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02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35A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Аракс</w:t>
      </w:r>
      <w:r w:rsidR="00E8702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 «Ёжики</w:t>
      </w:r>
      <w:r w:rsidR="00F9068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Морожики</w:t>
      </w:r>
      <w:proofErr w:type="spellEnd"/>
      <w:r w:rsidR="00341A6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702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9068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 буфет</w:t>
      </w:r>
      <w:r w:rsidR="00EE5EA3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ТРЦ «Олимпийский»</w:t>
      </w:r>
      <w:r w:rsidR="00F9068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165" w:rsidRPr="00BB2AD9" w:rsidRDefault="00613AE0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о</w:t>
      </w:r>
      <w:r w:rsidR="003D342F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3D342F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16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</w:t>
      </w:r>
      <w:r w:rsidR="00587D66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587D66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Фэмили</w:t>
      </w:r>
      <w:proofErr w:type="spellEnd"/>
      <w:r w:rsidR="00587D66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516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DWAY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Pasta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Pizza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Тутто</w:t>
      </w:r>
      <w:proofErr w:type="spellEnd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Крутто</w:t>
      </w:r>
      <w:proofErr w:type="spell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972CE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 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медучилище</w:t>
      </w:r>
      <w:r w:rsidR="00E74AC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гриль-бар «Жара»</w:t>
      </w:r>
      <w:r w:rsidR="00587D66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proofErr w:type="spell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., 1 закусочная «</w:t>
      </w:r>
      <w:proofErr w:type="spell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МакДак</w:t>
      </w:r>
      <w:proofErr w:type="spell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8 </w:t>
      </w:r>
      <w:proofErr w:type="spell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., 1 предприятие быстрого обслуживания «</w:t>
      </w:r>
      <w:proofErr w:type="spell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Шаверма</w:t>
      </w:r>
      <w:proofErr w:type="spell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», 1 отдел кулинарии в универсаме «</w:t>
      </w:r>
      <w:proofErr w:type="spell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Рублёв</w:t>
      </w:r>
      <w:proofErr w:type="gramStart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&amp;К</w:t>
      </w:r>
      <w:proofErr w:type="spellEnd"/>
      <w:proofErr w:type="gramEnd"/>
      <w:r w:rsidR="00C102FB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342F" w:rsidRPr="00BB2AD9" w:rsidRDefault="003D342F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посадочными местами в общедоступной сети составляет </w:t>
      </w:r>
      <w:r w:rsidR="000A643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6C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C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 мест на 1000 </w:t>
      </w:r>
      <w:r w:rsidR="008F40B1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0A643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40B1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социальном нормативе обеспеченности 40 п. мест </w:t>
      </w:r>
      <w:r w:rsidR="004867F8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1000 чел</w:t>
      </w:r>
      <w:r w:rsidR="000A643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7F8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0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70,2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от норматива и в сравнении с предыдущим годом </w:t>
      </w:r>
      <w:r w:rsidR="009F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лась на </w:t>
      </w:r>
      <w:r w:rsidR="00006C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1298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C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643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67F8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43A6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Несмотря на рост числа предприятий общедоступной сети количество посадочных мест сократилось</w:t>
      </w:r>
      <w:r w:rsidR="00F432D0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A6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</w:t>
      </w:r>
      <w:r w:rsidR="00F432D0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</w:t>
      </w:r>
      <w:r w:rsidR="00743A6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32D0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 и ресторана с большим количеством посадочных мест.</w:t>
      </w:r>
      <w:proofErr w:type="gramEnd"/>
    </w:p>
    <w:p w:rsidR="003D342F" w:rsidRPr="00BB2AD9" w:rsidRDefault="003D342F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экономическим и социальным аспектом 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общественного питания 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питание рабочих и служащих, учащихся образовательных учреждений города. В целом закрытая сеть </w:t>
      </w:r>
      <w:r w:rsidR="001F02CC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 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2</w:t>
      </w:r>
      <w:r w:rsidR="00516E1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6D37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516E1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006D37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216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216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 % от общего количества предприятий общественного питания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при учебных заведениях - </w:t>
      </w:r>
      <w:r w:rsidR="00516E19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промпредприятиях и учреждениях - 1</w:t>
      </w:r>
      <w:r w:rsidR="00852B2A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E19" w:rsidRPr="009F27AF" w:rsidRDefault="00516E19" w:rsidP="003D342F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342F" w:rsidRPr="00BB2AD9" w:rsidRDefault="003D342F" w:rsidP="00516E19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A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Бытовые услуги</w:t>
      </w:r>
    </w:p>
    <w:p w:rsidR="00717444" w:rsidRDefault="002632DA" w:rsidP="007174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D9">
        <w:rPr>
          <w:rFonts w:ascii="Times New Roman" w:hAnsi="Times New Roman" w:cs="Times New Roman"/>
          <w:sz w:val="28"/>
          <w:szCs w:val="28"/>
          <w:lang w:eastAsia="ru-RU"/>
        </w:rPr>
        <w:t>Оборот бытовых услуг населению</w:t>
      </w:r>
      <w:r w:rsidR="00C36A89" w:rsidRPr="00BB2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7E5" w:rsidRPr="00BB2AD9">
        <w:rPr>
          <w:rFonts w:ascii="Times New Roman" w:hAnsi="Times New Roman" w:cs="Times New Roman"/>
          <w:sz w:val="28"/>
          <w:szCs w:val="28"/>
          <w:lang w:eastAsia="ru-RU"/>
        </w:rPr>
        <w:t xml:space="preserve">по крупным и средним предприятиям </w:t>
      </w:r>
      <w:r w:rsidR="00C36A89" w:rsidRPr="00BB2AD9">
        <w:rPr>
          <w:rFonts w:ascii="Times New Roman" w:hAnsi="Times New Roman" w:cs="Times New Roman"/>
          <w:sz w:val="28"/>
          <w:szCs w:val="28"/>
          <w:lang w:eastAsia="ru-RU"/>
        </w:rPr>
        <w:t xml:space="preserve">(без </w:t>
      </w:r>
      <w:r w:rsidR="003557E5" w:rsidRPr="00BB2AD9">
        <w:rPr>
          <w:rFonts w:ascii="Times New Roman" w:hAnsi="Times New Roman" w:cs="Times New Roman"/>
          <w:sz w:val="28"/>
          <w:szCs w:val="28"/>
          <w:lang w:eastAsia="ru-RU"/>
        </w:rPr>
        <w:t xml:space="preserve">учета </w:t>
      </w:r>
      <w:r w:rsidR="00C36A89" w:rsidRPr="00BB2AD9">
        <w:rPr>
          <w:rFonts w:ascii="Times New Roman" w:hAnsi="Times New Roman" w:cs="Times New Roman"/>
          <w:sz w:val="28"/>
          <w:szCs w:val="28"/>
          <w:lang w:eastAsia="ru-RU"/>
        </w:rPr>
        <w:t>объема ремонта и технического обслуживания бытовой радиоэлектронной аппаратуры)</w:t>
      </w:r>
      <w:r w:rsidRPr="00BB2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- декабре 202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руб. или 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к соответствующему периоду прошлого года. </w:t>
      </w:r>
    </w:p>
    <w:p w:rsidR="002632DA" w:rsidRPr="00BB2AD9" w:rsidRDefault="002632DA" w:rsidP="0071744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расчете на душу населения оборот бытовых услуг составил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месяц (в январе-декабре 20</w:t>
      </w:r>
      <w:r w:rsidR="003557E5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месяц)</w:t>
      </w:r>
      <w:r w:rsidR="0089129D"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80A" w:rsidRPr="00BB2AD9" w:rsidRDefault="00FA280A" w:rsidP="002632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31B56" w:rsidRDefault="00031B56" w:rsidP="00031B56">
      <w:pPr>
        <w:pStyle w:val="a3"/>
        <w:spacing w:after="0" w:line="240" w:lineRule="auto"/>
        <w:jc w:val="center"/>
        <w:rPr>
          <w:rFonts w:eastAsia="+mn-ea"/>
          <w:b/>
          <w:bCs/>
          <w:sz w:val="22"/>
          <w:szCs w:val="22"/>
        </w:rPr>
      </w:pPr>
      <w:r w:rsidRPr="00C91637">
        <w:rPr>
          <w:rFonts w:eastAsia="+mn-ea"/>
          <w:b/>
          <w:bCs/>
          <w:sz w:val="22"/>
          <w:szCs w:val="22"/>
        </w:rPr>
        <w:t xml:space="preserve">Оборот </w:t>
      </w:r>
      <w:r w:rsidR="00C2738B">
        <w:rPr>
          <w:rFonts w:eastAsia="+mn-ea"/>
          <w:b/>
          <w:bCs/>
          <w:sz w:val="22"/>
          <w:szCs w:val="22"/>
        </w:rPr>
        <w:t xml:space="preserve">бытовых услуг населению </w:t>
      </w:r>
      <w:r w:rsidRPr="00C91637">
        <w:rPr>
          <w:rFonts w:eastAsia="+mn-ea"/>
          <w:b/>
          <w:bCs/>
          <w:sz w:val="22"/>
          <w:szCs w:val="22"/>
        </w:rPr>
        <w:t>в 20</w:t>
      </w:r>
      <w:r w:rsidR="0089129D">
        <w:rPr>
          <w:rFonts w:eastAsia="+mn-ea"/>
          <w:b/>
          <w:bCs/>
          <w:sz w:val="22"/>
          <w:szCs w:val="22"/>
        </w:rPr>
        <w:t>20</w:t>
      </w:r>
      <w:r w:rsidRPr="00C91637">
        <w:rPr>
          <w:rFonts w:eastAsia="+mn-ea"/>
          <w:b/>
          <w:bCs/>
          <w:sz w:val="22"/>
          <w:szCs w:val="22"/>
        </w:rPr>
        <w:t>-20</w:t>
      </w:r>
      <w:r>
        <w:rPr>
          <w:rFonts w:eastAsia="+mn-ea"/>
          <w:b/>
          <w:bCs/>
          <w:sz w:val="22"/>
          <w:szCs w:val="22"/>
        </w:rPr>
        <w:t>2</w:t>
      </w:r>
      <w:r w:rsidR="0089129D">
        <w:rPr>
          <w:rFonts w:eastAsia="+mn-ea"/>
          <w:b/>
          <w:bCs/>
          <w:sz w:val="22"/>
          <w:szCs w:val="22"/>
        </w:rPr>
        <w:t>2</w:t>
      </w:r>
      <w:r w:rsidR="001049A6">
        <w:rPr>
          <w:rFonts w:eastAsia="+mn-ea"/>
          <w:b/>
          <w:bCs/>
          <w:sz w:val="22"/>
          <w:szCs w:val="22"/>
        </w:rPr>
        <w:t xml:space="preserve"> годах</w:t>
      </w:r>
    </w:p>
    <w:p w:rsidR="00C2738B" w:rsidRPr="00C91637" w:rsidRDefault="00C2738B" w:rsidP="00031B56">
      <w:pPr>
        <w:pStyle w:val="a3"/>
        <w:spacing w:after="0" w:line="240" w:lineRule="auto"/>
        <w:jc w:val="center"/>
        <w:rPr>
          <w:sz w:val="22"/>
          <w:szCs w:val="22"/>
        </w:rPr>
      </w:pPr>
      <w:r>
        <w:rPr>
          <w:rFonts w:eastAsia="+mn-ea"/>
          <w:b/>
          <w:bCs/>
          <w:sz w:val="22"/>
          <w:szCs w:val="22"/>
        </w:rPr>
        <w:t>(млн. руб.)</w:t>
      </w:r>
    </w:p>
    <w:p w:rsidR="004125E7" w:rsidRDefault="0089129D" w:rsidP="00601FAF">
      <w:pPr>
        <w:tabs>
          <w:tab w:val="left" w:pos="284"/>
          <w:tab w:val="left" w:pos="851"/>
          <w:tab w:val="left" w:pos="1560"/>
          <w:tab w:val="left" w:pos="7655"/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9280C2" wp14:editId="446258FC">
            <wp:extent cx="3924300" cy="2336800"/>
            <wp:effectExtent l="0" t="19050" r="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0C68" w:rsidRDefault="00EC5B3A" w:rsidP="00717444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Потребительский рынок </w:t>
      </w:r>
      <w:r w:rsidR="00BE7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</w:t>
      </w:r>
      <w:r w:rsidR="00BE7E6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обслуживания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разнообразен. </w:t>
      </w:r>
      <w:proofErr w:type="gramStart"/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структуре предприятий </w:t>
      </w:r>
      <w:r w:rsidR="00BE7E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</w:t>
      </w:r>
      <w:r w:rsidR="00BE7E6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обслуживания</w:t>
      </w:r>
      <w:r w:rsidR="00BE7E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наибольший удельный вес приходится на</w:t>
      </w:r>
      <w:r w:rsidR="005B21AA" w:rsidRPr="005B21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B21AA" w:rsidRPr="00593927">
        <w:rPr>
          <w:rFonts w:ascii="Times New Roman" w:hAnsi="Times New Roman" w:cs="Times New Roman"/>
          <w:sz w:val="26"/>
          <w:szCs w:val="26"/>
          <w:lang w:eastAsia="ru-RU"/>
        </w:rPr>
        <w:t>парикмахерские услуги -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 xml:space="preserve"> 42</w:t>
      </w:r>
      <w:r w:rsidR="005B21AA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5B21AA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61</w:t>
      </w:r>
      <w:r w:rsidR="005B21AA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объект), услуги по ремонту и техническому</w:t>
      </w:r>
      <w:r w:rsidR="00BE7E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обслуживанию </w:t>
      </w:r>
      <w:r w:rsidR="004978AA" w:rsidRPr="004978AA">
        <w:rPr>
          <w:rFonts w:ascii="Times New Roman" w:hAnsi="Times New Roman" w:cs="Times New Roman"/>
          <w:sz w:val="26"/>
          <w:szCs w:val="26"/>
          <w:lang w:eastAsia="ru-RU"/>
        </w:rPr>
        <w:t xml:space="preserve">транспортных средств, машин и оборудования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4978AA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% (</w:t>
      </w:r>
      <w:r w:rsidR="004978AA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9A2A0F" w:rsidRPr="0059392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объект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r w:rsidR="00747A72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и пошиву швейных, меховых, трикотажных изделий, головных уборов - 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747A72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47A72" w:rsidRPr="00593927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747A72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ателье и мастерских),</w:t>
      </w:r>
      <w:r w:rsidR="005962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78AA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жилья - 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4978AA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4978AA" w:rsidRPr="00593927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978AA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пунктов приема)</w:t>
      </w:r>
      <w:r w:rsidR="004978A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услуги по ремонту бытовых машин и приборов</w:t>
      </w:r>
      <w:proofErr w:type="gramEnd"/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радиоэлектронной аппаратуры, ЭВМ, металлоизделий </w:t>
      </w:r>
      <w:r w:rsidR="0061268F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6AD8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и пошиву обуви - </w:t>
      </w:r>
      <w:r w:rsidR="00CE6AD8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% (9 объектов), 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</w:t>
      </w:r>
      <w:r w:rsidR="00CE6AD8">
        <w:rPr>
          <w:rFonts w:ascii="Times New Roman" w:hAnsi="Times New Roman" w:cs="Times New Roman"/>
          <w:sz w:val="26"/>
          <w:szCs w:val="26"/>
          <w:lang w:eastAsia="ru-RU"/>
        </w:rPr>
        <w:t xml:space="preserve">фотоателье 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47A72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предприятий по прокату - 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 объект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),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ритуальные услуги - 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% (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C9555F" w:rsidRPr="0059392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>услуги по изготовлению и ремонту мебели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услуг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бань и душевых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9D0D3B" w:rsidRPr="009D0D3B">
        <w:rPr>
          <w:rFonts w:ascii="Times New Roman" w:hAnsi="Times New Roman" w:cs="Times New Roman"/>
          <w:sz w:val="26"/>
          <w:szCs w:val="26"/>
          <w:lang w:eastAsia="ru-RU"/>
        </w:rPr>
        <w:t xml:space="preserve"> 2,1% (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9D0D3B" w:rsidRPr="009D0D3B">
        <w:rPr>
          <w:rFonts w:ascii="Times New Roman" w:hAnsi="Times New Roman" w:cs="Times New Roman"/>
          <w:sz w:val="26"/>
          <w:szCs w:val="26"/>
          <w:lang w:eastAsia="ru-RU"/>
        </w:rPr>
        <w:t>3 объекта)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услуги копирования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9D0D3B">
        <w:rPr>
          <w:rFonts w:ascii="Times New Roman" w:hAnsi="Times New Roman" w:cs="Times New Roman"/>
          <w:sz w:val="26"/>
          <w:szCs w:val="26"/>
          <w:lang w:eastAsia="ru-RU"/>
        </w:rPr>
        <w:t>груминг</w:t>
      </w:r>
      <w:proofErr w:type="spellEnd"/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67D5C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C9555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 % (по 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объекта),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услуги 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сухой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химчистки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C4263A" w:rsidRPr="00593927">
        <w:rPr>
          <w:rFonts w:ascii="Times New Roman" w:hAnsi="Times New Roman" w:cs="Times New Roman"/>
          <w:sz w:val="26"/>
          <w:szCs w:val="26"/>
          <w:lang w:eastAsia="ru-RU"/>
        </w:rPr>
        <w:t>пухоперовых изделий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9D0D3B">
        <w:rPr>
          <w:rFonts w:ascii="Times New Roman" w:hAnsi="Times New Roman" w:cs="Times New Roman"/>
          <w:sz w:val="26"/>
          <w:szCs w:val="26"/>
          <w:lang w:eastAsia="ru-RU"/>
        </w:rPr>
        <w:t xml:space="preserve"> -0,7</w:t>
      </w:r>
      <w:proofErr w:type="gramEnd"/>
      <w:r w:rsidR="009D0D3B">
        <w:rPr>
          <w:rFonts w:ascii="Times New Roman" w:hAnsi="Times New Roman" w:cs="Times New Roman"/>
          <w:sz w:val="26"/>
          <w:szCs w:val="26"/>
          <w:lang w:eastAsia="ru-RU"/>
        </w:rPr>
        <w:t>% (</w:t>
      </w:r>
      <w:proofErr w:type="gramStart"/>
      <w:r w:rsidR="009D0D3B">
        <w:rPr>
          <w:rFonts w:ascii="Times New Roman" w:hAnsi="Times New Roman" w:cs="Times New Roman"/>
          <w:sz w:val="26"/>
          <w:szCs w:val="26"/>
          <w:lang w:eastAsia="ru-RU"/>
        </w:rPr>
        <w:t>1 объект)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27285D" w:rsidRPr="00717444" w:rsidRDefault="0027285D" w:rsidP="0071744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444">
        <w:rPr>
          <w:rFonts w:ascii="Times New Roman" w:hAnsi="Times New Roman" w:cs="Times New Roman"/>
          <w:sz w:val="28"/>
          <w:szCs w:val="28"/>
          <w:lang w:eastAsia="ru-RU"/>
        </w:rPr>
        <w:t>Среди бытовых услуг в 202</w:t>
      </w:r>
      <w:r w:rsidR="00DC4066" w:rsidRPr="007174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году наибольшее развитие получили услуги парикмахерских, оказываемые </w:t>
      </w:r>
      <w:proofErr w:type="spellStart"/>
      <w:r w:rsidRPr="00717444">
        <w:rPr>
          <w:rFonts w:ascii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гражданами, заключившими социальные контракты с Управлением социальной защиты населения. </w:t>
      </w:r>
      <w:r w:rsidR="00DC4066"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объектов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по оказанию услуг парикмахер</w:t>
      </w:r>
      <w:r w:rsidR="00DC4066" w:rsidRPr="00717444">
        <w:rPr>
          <w:rFonts w:ascii="Times New Roman" w:hAnsi="Times New Roman" w:cs="Times New Roman"/>
          <w:sz w:val="28"/>
          <w:szCs w:val="28"/>
          <w:lang w:eastAsia="ru-RU"/>
        </w:rPr>
        <w:t>ских,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ногтевого сервиса</w:t>
      </w:r>
      <w:r w:rsidR="00DC4066" w:rsidRPr="00717444">
        <w:rPr>
          <w:rFonts w:ascii="Times New Roman" w:hAnsi="Times New Roman" w:cs="Times New Roman"/>
          <w:sz w:val="28"/>
          <w:szCs w:val="28"/>
          <w:lang w:eastAsia="ru-RU"/>
        </w:rPr>
        <w:t>, перманентного макияжа увеличилось с 49 до 61 ед</w:t>
      </w:r>
      <w:r w:rsidR="00717444">
        <w:rPr>
          <w:rFonts w:ascii="Times New Roman" w:hAnsi="Times New Roman" w:cs="Times New Roman"/>
          <w:sz w:val="28"/>
          <w:szCs w:val="28"/>
          <w:lang w:eastAsia="ru-RU"/>
        </w:rPr>
        <w:t>иницы.</w:t>
      </w:r>
    </w:p>
    <w:p w:rsidR="002F02E6" w:rsidRPr="00717444" w:rsidRDefault="002F02E6" w:rsidP="00717444">
      <w:pPr>
        <w:pStyle w:val="a4"/>
        <w:ind w:firstLine="426"/>
        <w:jc w:val="both"/>
        <w:rPr>
          <w:sz w:val="28"/>
          <w:szCs w:val="28"/>
        </w:rPr>
      </w:pP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Подавляющая часть бытовых услуг оказывается индивидуальными предпринимателями </w:t>
      </w:r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>95</w:t>
      </w:r>
      <w:r w:rsidR="004F2303" w:rsidRPr="007174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% (202</w:t>
      </w:r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AB9" w:rsidRPr="0071744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3623" w:rsidRPr="0071744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F2303" w:rsidRPr="007174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%), </w:t>
      </w:r>
      <w:r w:rsidR="004E2390"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юридическими лицами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E2390" w:rsidRPr="0071744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F2303" w:rsidRPr="007174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% (202</w:t>
      </w:r>
      <w:r w:rsidR="004E2390" w:rsidRPr="0071744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4E2390" w:rsidRPr="0071744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F2303" w:rsidRPr="0071744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%).</w:t>
      </w:r>
    </w:p>
    <w:p w:rsidR="002F02E6" w:rsidRPr="00717444" w:rsidRDefault="002F02E6" w:rsidP="0071744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4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 итогам 202</w:t>
      </w:r>
      <w:r w:rsidR="008D7AB9" w:rsidRPr="007174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</w:t>
      </w:r>
      <w:r w:rsidRPr="007174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года показатель социальной обеспеченности населения основными видами бытовых услуг на 1000 человек составил 1</w:t>
      </w:r>
      <w:r w:rsidR="00DB68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</w:t>
      </w:r>
      <w:r w:rsidRPr="0071744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рабочих мест при нормативе расчета предприятий 9 рабочих мест на 1000 человек и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в сравнении с предыдущим годом </w:t>
      </w:r>
      <w:r w:rsidR="008D7AB9"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вырос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8D7AB9" w:rsidRPr="0071744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B680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B680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 %.</w:t>
      </w:r>
    </w:p>
    <w:p w:rsidR="003149E4" w:rsidRPr="00717444" w:rsidRDefault="0027285D" w:rsidP="00717444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44"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Достаточно развиты социально значимые бытовые услуги: по ремонту обуви, одежды, сложной бытовой техники, фото услуги, парикмахерские услуги. Предприятия бытовых услуг </w:t>
      </w:r>
      <w:r w:rsidRPr="00717444">
        <w:rPr>
          <w:rFonts w:ascii="Times New Roman" w:hAnsi="Times New Roman" w:cs="Times New Roman"/>
          <w:bCs/>
          <w:sz w:val="28"/>
          <w:szCs w:val="28"/>
        </w:rPr>
        <w:t xml:space="preserve">оказывают </w:t>
      </w:r>
      <w:r w:rsidRPr="00717444">
        <w:rPr>
          <w:rFonts w:ascii="Times New Roman" w:hAnsi="Times New Roman" w:cs="Times New Roman"/>
          <w:sz w:val="28"/>
          <w:szCs w:val="28"/>
          <w:lang w:eastAsia="ru-RU"/>
        </w:rPr>
        <w:t>социально-незащищенной категории населения</w:t>
      </w:r>
      <w:r w:rsidRPr="00717444">
        <w:rPr>
          <w:rFonts w:ascii="Times New Roman" w:hAnsi="Times New Roman" w:cs="Times New Roman"/>
          <w:bCs/>
          <w:sz w:val="28"/>
          <w:szCs w:val="28"/>
        </w:rPr>
        <w:t xml:space="preserve"> льготные услуги по стрижке волос, ремонту обуви, ремонту бытовой техники, фото услуги.</w:t>
      </w:r>
      <w:bookmarkStart w:id="0" w:name="_GoBack"/>
      <w:bookmarkEnd w:id="0"/>
    </w:p>
    <w:sectPr w:rsidR="003149E4" w:rsidRPr="00717444" w:rsidSect="00FD052F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D3" w:rsidRDefault="00111ED3" w:rsidP="003650F7">
      <w:pPr>
        <w:spacing w:after="0" w:line="240" w:lineRule="auto"/>
      </w:pPr>
      <w:r>
        <w:separator/>
      </w:r>
    </w:p>
  </w:endnote>
  <w:endnote w:type="continuationSeparator" w:id="0">
    <w:p w:rsidR="00111ED3" w:rsidRDefault="00111ED3" w:rsidP="0036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83647"/>
      <w:docPartObj>
        <w:docPartGallery w:val="Page Numbers (Bottom of Page)"/>
        <w:docPartUnique/>
      </w:docPartObj>
    </w:sdtPr>
    <w:sdtEndPr/>
    <w:sdtContent>
      <w:p w:rsidR="003650F7" w:rsidRDefault="003650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0C">
          <w:rPr>
            <w:noProof/>
          </w:rPr>
          <w:t>3</w:t>
        </w:r>
        <w:r>
          <w:fldChar w:fldCharType="end"/>
        </w:r>
      </w:p>
    </w:sdtContent>
  </w:sdt>
  <w:p w:rsidR="003650F7" w:rsidRDefault="003650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D3" w:rsidRDefault="00111ED3" w:rsidP="003650F7">
      <w:pPr>
        <w:spacing w:after="0" w:line="240" w:lineRule="auto"/>
      </w:pPr>
      <w:r>
        <w:separator/>
      </w:r>
    </w:p>
  </w:footnote>
  <w:footnote w:type="continuationSeparator" w:id="0">
    <w:p w:rsidR="00111ED3" w:rsidRDefault="00111ED3" w:rsidP="0036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310"/>
    <w:multiLevelType w:val="hybridMultilevel"/>
    <w:tmpl w:val="9820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749E"/>
    <w:multiLevelType w:val="hybridMultilevel"/>
    <w:tmpl w:val="51B87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5D9F"/>
    <w:rsid w:val="00006A4B"/>
    <w:rsid w:val="00006C57"/>
    <w:rsid w:val="00006D37"/>
    <w:rsid w:val="00006E06"/>
    <w:rsid w:val="00013349"/>
    <w:rsid w:val="000144D9"/>
    <w:rsid w:val="00024376"/>
    <w:rsid w:val="00027E75"/>
    <w:rsid w:val="0003035D"/>
    <w:rsid w:val="00030CC2"/>
    <w:rsid w:val="000314D4"/>
    <w:rsid w:val="00031B18"/>
    <w:rsid w:val="00031B56"/>
    <w:rsid w:val="0003205B"/>
    <w:rsid w:val="000357C5"/>
    <w:rsid w:val="000378C0"/>
    <w:rsid w:val="00044250"/>
    <w:rsid w:val="00044687"/>
    <w:rsid w:val="00046D68"/>
    <w:rsid w:val="00055E50"/>
    <w:rsid w:val="00067EB9"/>
    <w:rsid w:val="0007003E"/>
    <w:rsid w:val="00081158"/>
    <w:rsid w:val="00081640"/>
    <w:rsid w:val="00087D9A"/>
    <w:rsid w:val="00093E13"/>
    <w:rsid w:val="0009665A"/>
    <w:rsid w:val="0009692F"/>
    <w:rsid w:val="000A6435"/>
    <w:rsid w:val="000A78E2"/>
    <w:rsid w:val="000B65EF"/>
    <w:rsid w:val="000B7F06"/>
    <w:rsid w:val="000C404B"/>
    <w:rsid w:val="000D0194"/>
    <w:rsid w:val="000D1972"/>
    <w:rsid w:val="000D1F26"/>
    <w:rsid w:val="000D7B36"/>
    <w:rsid w:val="000D7D0F"/>
    <w:rsid w:val="000E4EB1"/>
    <w:rsid w:val="000F085C"/>
    <w:rsid w:val="000F3674"/>
    <w:rsid w:val="001049A6"/>
    <w:rsid w:val="00111E17"/>
    <w:rsid w:val="00111ED3"/>
    <w:rsid w:val="00122B6E"/>
    <w:rsid w:val="00127C15"/>
    <w:rsid w:val="00131929"/>
    <w:rsid w:val="00132CB7"/>
    <w:rsid w:val="00136A91"/>
    <w:rsid w:val="00136C39"/>
    <w:rsid w:val="001378CD"/>
    <w:rsid w:val="00143E5A"/>
    <w:rsid w:val="0014486F"/>
    <w:rsid w:val="0015177A"/>
    <w:rsid w:val="00151F08"/>
    <w:rsid w:val="0015617A"/>
    <w:rsid w:val="0016294A"/>
    <w:rsid w:val="0016487C"/>
    <w:rsid w:val="00164F28"/>
    <w:rsid w:val="001678F1"/>
    <w:rsid w:val="001679DE"/>
    <w:rsid w:val="00174B40"/>
    <w:rsid w:val="00180217"/>
    <w:rsid w:val="00184518"/>
    <w:rsid w:val="00184892"/>
    <w:rsid w:val="00184AF0"/>
    <w:rsid w:val="001B26B9"/>
    <w:rsid w:val="001C1C5C"/>
    <w:rsid w:val="001D0E3E"/>
    <w:rsid w:val="001D22D0"/>
    <w:rsid w:val="001D4342"/>
    <w:rsid w:val="001D58E3"/>
    <w:rsid w:val="001D6ABA"/>
    <w:rsid w:val="001D710F"/>
    <w:rsid w:val="001D7AEC"/>
    <w:rsid w:val="001F02CC"/>
    <w:rsid w:val="00203D5E"/>
    <w:rsid w:val="00212124"/>
    <w:rsid w:val="00217761"/>
    <w:rsid w:val="00221E96"/>
    <w:rsid w:val="00222CDD"/>
    <w:rsid w:val="00226A85"/>
    <w:rsid w:val="00230E6F"/>
    <w:rsid w:val="00233A8E"/>
    <w:rsid w:val="0023519C"/>
    <w:rsid w:val="00241803"/>
    <w:rsid w:val="00243275"/>
    <w:rsid w:val="00244606"/>
    <w:rsid w:val="00245D27"/>
    <w:rsid w:val="00257288"/>
    <w:rsid w:val="00262F6E"/>
    <w:rsid w:val="002632DA"/>
    <w:rsid w:val="0027285D"/>
    <w:rsid w:val="002746EC"/>
    <w:rsid w:val="0028129A"/>
    <w:rsid w:val="002911D4"/>
    <w:rsid w:val="00291D23"/>
    <w:rsid w:val="00296F35"/>
    <w:rsid w:val="002A07FD"/>
    <w:rsid w:val="002A73DE"/>
    <w:rsid w:val="002A7FCB"/>
    <w:rsid w:val="002B72D0"/>
    <w:rsid w:val="002C1F7A"/>
    <w:rsid w:val="002C2ECB"/>
    <w:rsid w:val="002C5A1C"/>
    <w:rsid w:val="002C7952"/>
    <w:rsid w:val="002D0412"/>
    <w:rsid w:val="002D3096"/>
    <w:rsid w:val="002E00B6"/>
    <w:rsid w:val="002E1C91"/>
    <w:rsid w:val="002E1CA5"/>
    <w:rsid w:val="002F02E6"/>
    <w:rsid w:val="002F0C68"/>
    <w:rsid w:val="002F32D7"/>
    <w:rsid w:val="002F6A4F"/>
    <w:rsid w:val="003013C2"/>
    <w:rsid w:val="003029EC"/>
    <w:rsid w:val="003149E4"/>
    <w:rsid w:val="0032081A"/>
    <w:rsid w:val="00322446"/>
    <w:rsid w:val="00326F3E"/>
    <w:rsid w:val="00326F45"/>
    <w:rsid w:val="00331365"/>
    <w:rsid w:val="00340A4C"/>
    <w:rsid w:val="00341A6E"/>
    <w:rsid w:val="00342CDB"/>
    <w:rsid w:val="00347DD1"/>
    <w:rsid w:val="00351401"/>
    <w:rsid w:val="00352E2D"/>
    <w:rsid w:val="003557E5"/>
    <w:rsid w:val="00362804"/>
    <w:rsid w:val="003650F7"/>
    <w:rsid w:val="00370801"/>
    <w:rsid w:val="0038362E"/>
    <w:rsid w:val="00384AC2"/>
    <w:rsid w:val="00386B0C"/>
    <w:rsid w:val="00395426"/>
    <w:rsid w:val="00396E94"/>
    <w:rsid w:val="003A1BA3"/>
    <w:rsid w:val="003A1C14"/>
    <w:rsid w:val="003A61F1"/>
    <w:rsid w:val="003B1890"/>
    <w:rsid w:val="003B21F5"/>
    <w:rsid w:val="003B42DA"/>
    <w:rsid w:val="003B6E97"/>
    <w:rsid w:val="003C4DEC"/>
    <w:rsid w:val="003C57F4"/>
    <w:rsid w:val="003D0A9D"/>
    <w:rsid w:val="003D342F"/>
    <w:rsid w:val="003D4F03"/>
    <w:rsid w:val="003D7EDC"/>
    <w:rsid w:val="003E215A"/>
    <w:rsid w:val="003E21FB"/>
    <w:rsid w:val="003E3623"/>
    <w:rsid w:val="003E5D9C"/>
    <w:rsid w:val="003F0878"/>
    <w:rsid w:val="003F540A"/>
    <w:rsid w:val="004003A2"/>
    <w:rsid w:val="004028AB"/>
    <w:rsid w:val="00407025"/>
    <w:rsid w:val="00407356"/>
    <w:rsid w:val="0041142C"/>
    <w:rsid w:val="004125E7"/>
    <w:rsid w:val="00413949"/>
    <w:rsid w:val="00414910"/>
    <w:rsid w:val="00425D3A"/>
    <w:rsid w:val="00426473"/>
    <w:rsid w:val="00427866"/>
    <w:rsid w:val="00432594"/>
    <w:rsid w:val="004329D3"/>
    <w:rsid w:val="00466CCD"/>
    <w:rsid w:val="00470BF6"/>
    <w:rsid w:val="004807D7"/>
    <w:rsid w:val="00486667"/>
    <w:rsid w:val="004867F8"/>
    <w:rsid w:val="00494F77"/>
    <w:rsid w:val="00496AAE"/>
    <w:rsid w:val="004978AA"/>
    <w:rsid w:val="00497CDE"/>
    <w:rsid w:val="004A35E8"/>
    <w:rsid w:val="004B1ED6"/>
    <w:rsid w:val="004B2AF6"/>
    <w:rsid w:val="004B3B24"/>
    <w:rsid w:val="004B409C"/>
    <w:rsid w:val="004B6A72"/>
    <w:rsid w:val="004B7796"/>
    <w:rsid w:val="004C0CB7"/>
    <w:rsid w:val="004D1CBE"/>
    <w:rsid w:val="004D1D82"/>
    <w:rsid w:val="004D2CB3"/>
    <w:rsid w:val="004D4692"/>
    <w:rsid w:val="004D5B47"/>
    <w:rsid w:val="004D62BE"/>
    <w:rsid w:val="004D7753"/>
    <w:rsid w:val="004E2390"/>
    <w:rsid w:val="004E2672"/>
    <w:rsid w:val="004E7B32"/>
    <w:rsid w:val="004F2303"/>
    <w:rsid w:val="004F2F38"/>
    <w:rsid w:val="0051666C"/>
    <w:rsid w:val="00516E19"/>
    <w:rsid w:val="00530877"/>
    <w:rsid w:val="00531A5C"/>
    <w:rsid w:val="00533B16"/>
    <w:rsid w:val="00540737"/>
    <w:rsid w:val="00547D50"/>
    <w:rsid w:val="00551335"/>
    <w:rsid w:val="005532FC"/>
    <w:rsid w:val="00557EEE"/>
    <w:rsid w:val="0056027B"/>
    <w:rsid w:val="00560B0B"/>
    <w:rsid w:val="00561521"/>
    <w:rsid w:val="00562E48"/>
    <w:rsid w:val="00563072"/>
    <w:rsid w:val="00574E9F"/>
    <w:rsid w:val="005755D9"/>
    <w:rsid w:val="00575C05"/>
    <w:rsid w:val="00575DB1"/>
    <w:rsid w:val="005776B3"/>
    <w:rsid w:val="00582B9D"/>
    <w:rsid w:val="005870BE"/>
    <w:rsid w:val="00587D66"/>
    <w:rsid w:val="005906AD"/>
    <w:rsid w:val="00593927"/>
    <w:rsid w:val="00594566"/>
    <w:rsid w:val="005950C5"/>
    <w:rsid w:val="0059624E"/>
    <w:rsid w:val="005B1D74"/>
    <w:rsid w:val="005B1E30"/>
    <w:rsid w:val="005B21AA"/>
    <w:rsid w:val="005B6930"/>
    <w:rsid w:val="005C6B1B"/>
    <w:rsid w:val="005E1414"/>
    <w:rsid w:val="005E1685"/>
    <w:rsid w:val="005E17BC"/>
    <w:rsid w:val="005E3A12"/>
    <w:rsid w:val="005E7519"/>
    <w:rsid w:val="00600F42"/>
    <w:rsid w:val="00601FAF"/>
    <w:rsid w:val="0060288A"/>
    <w:rsid w:val="00602E74"/>
    <w:rsid w:val="00605D79"/>
    <w:rsid w:val="006101CA"/>
    <w:rsid w:val="0061268F"/>
    <w:rsid w:val="00613AE0"/>
    <w:rsid w:val="006140EE"/>
    <w:rsid w:val="00626D78"/>
    <w:rsid w:val="00632D7D"/>
    <w:rsid w:val="006358B6"/>
    <w:rsid w:val="00637187"/>
    <w:rsid w:val="00640C69"/>
    <w:rsid w:val="00645347"/>
    <w:rsid w:val="00647DA4"/>
    <w:rsid w:val="00652E10"/>
    <w:rsid w:val="00661898"/>
    <w:rsid w:val="00666755"/>
    <w:rsid w:val="006732C9"/>
    <w:rsid w:val="00673578"/>
    <w:rsid w:val="00677C83"/>
    <w:rsid w:val="00682FCD"/>
    <w:rsid w:val="00685708"/>
    <w:rsid w:val="006975D0"/>
    <w:rsid w:val="006A16C2"/>
    <w:rsid w:val="006A212E"/>
    <w:rsid w:val="006A2EED"/>
    <w:rsid w:val="006A4E38"/>
    <w:rsid w:val="006B0583"/>
    <w:rsid w:val="006B15C8"/>
    <w:rsid w:val="006C33AA"/>
    <w:rsid w:val="006C3906"/>
    <w:rsid w:val="006C5B69"/>
    <w:rsid w:val="006D2900"/>
    <w:rsid w:val="006D430B"/>
    <w:rsid w:val="006E10CA"/>
    <w:rsid w:val="006E3C6B"/>
    <w:rsid w:val="006E4A2B"/>
    <w:rsid w:val="006E6FA6"/>
    <w:rsid w:val="0070277F"/>
    <w:rsid w:val="007054D6"/>
    <w:rsid w:val="00711DAA"/>
    <w:rsid w:val="007136EA"/>
    <w:rsid w:val="00717444"/>
    <w:rsid w:val="00717591"/>
    <w:rsid w:val="0072321B"/>
    <w:rsid w:val="00724878"/>
    <w:rsid w:val="00724EA2"/>
    <w:rsid w:val="00725E3D"/>
    <w:rsid w:val="00726311"/>
    <w:rsid w:val="00730A7F"/>
    <w:rsid w:val="00734C33"/>
    <w:rsid w:val="0073614B"/>
    <w:rsid w:val="00743565"/>
    <w:rsid w:val="00743A6A"/>
    <w:rsid w:val="00746EA0"/>
    <w:rsid w:val="00747A72"/>
    <w:rsid w:val="007539E5"/>
    <w:rsid w:val="00753AD2"/>
    <w:rsid w:val="0076411D"/>
    <w:rsid w:val="007673F1"/>
    <w:rsid w:val="0077016F"/>
    <w:rsid w:val="00774FBE"/>
    <w:rsid w:val="00780792"/>
    <w:rsid w:val="00782DD9"/>
    <w:rsid w:val="00784510"/>
    <w:rsid w:val="00786FE4"/>
    <w:rsid w:val="00787DFA"/>
    <w:rsid w:val="00790757"/>
    <w:rsid w:val="007A0F62"/>
    <w:rsid w:val="007A18E2"/>
    <w:rsid w:val="007A1EB0"/>
    <w:rsid w:val="007A403C"/>
    <w:rsid w:val="007B0097"/>
    <w:rsid w:val="007B1F98"/>
    <w:rsid w:val="007B39D4"/>
    <w:rsid w:val="007B4953"/>
    <w:rsid w:val="007C10BC"/>
    <w:rsid w:val="007D031C"/>
    <w:rsid w:val="007D0553"/>
    <w:rsid w:val="007D17E3"/>
    <w:rsid w:val="007D2A20"/>
    <w:rsid w:val="007D553D"/>
    <w:rsid w:val="007D624A"/>
    <w:rsid w:val="007E2383"/>
    <w:rsid w:val="007E2989"/>
    <w:rsid w:val="007F2854"/>
    <w:rsid w:val="007F3A86"/>
    <w:rsid w:val="00800CFC"/>
    <w:rsid w:val="008034DE"/>
    <w:rsid w:val="00805165"/>
    <w:rsid w:val="0080519A"/>
    <w:rsid w:val="00805BF9"/>
    <w:rsid w:val="008115F3"/>
    <w:rsid w:val="00817164"/>
    <w:rsid w:val="00817A3E"/>
    <w:rsid w:val="00820808"/>
    <w:rsid w:val="00823145"/>
    <w:rsid w:val="00827C3B"/>
    <w:rsid w:val="00831DEE"/>
    <w:rsid w:val="00840911"/>
    <w:rsid w:val="008441BF"/>
    <w:rsid w:val="00844E07"/>
    <w:rsid w:val="00851803"/>
    <w:rsid w:val="00851851"/>
    <w:rsid w:val="00852B2A"/>
    <w:rsid w:val="00857876"/>
    <w:rsid w:val="0086005E"/>
    <w:rsid w:val="00863EF4"/>
    <w:rsid w:val="008672CD"/>
    <w:rsid w:val="008679A0"/>
    <w:rsid w:val="00873A7C"/>
    <w:rsid w:val="00881571"/>
    <w:rsid w:val="0088488B"/>
    <w:rsid w:val="00885644"/>
    <w:rsid w:val="0089129D"/>
    <w:rsid w:val="008930F0"/>
    <w:rsid w:val="00893931"/>
    <w:rsid w:val="008960DF"/>
    <w:rsid w:val="00897304"/>
    <w:rsid w:val="008B2F85"/>
    <w:rsid w:val="008B31FB"/>
    <w:rsid w:val="008B4E58"/>
    <w:rsid w:val="008B6732"/>
    <w:rsid w:val="008C3EC0"/>
    <w:rsid w:val="008C466F"/>
    <w:rsid w:val="008C783E"/>
    <w:rsid w:val="008D09C3"/>
    <w:rsid w:val="008D7AB9"/>
    <w:rsid w:val="008E0082"/>
    <w:rsid w:val="008E222F"/>
    <w:rsid w:val="008E30EE"/>
    <w:rsid w:val="008E3301"/>
    <w:rsid w:val="008E7265"/>
    <w:rsid w:val="008F40B1"/>
    <w:rsid w:val="00904288"/>
    <w:rsid w:val="009056FD"/>
    <w:rsid w:val="00906F93"/>
    <w:rsid w:val="009161F4"/>
    <w:rsid w:val="00921699"/>
    <w:rsid w:val="00927944"/>
    <w:rsid w:val="0093297B"/>
    <w:rsid w:val="00935211"/>
    <w:rsid w:val="00941403"/>
    <w:rsid w:val="00944FD0"/>
    <w:rsid w:val="0095077B"/>
    <w:rsid w:val="0095598A"/>
    <w:rsid w:val="00956636"/>
    <w:rsid w:val="00960663"/>
    <w:rsid w:val="00967B29"/>
    <w:rsid w:val="00971BC6"/>
    <w:rsid w:val="00972485"/>
    <w:rsid w:val="009746D6"/>
    <w:rsid w:val="00983844"/>
    <w:rsid w:val="009912DC"/>
    <w:rsid w:val="00997215"/>
    <w:rsid w:val="009A03D3"/>
    <w:rsid w:val="009A228C"/>
    <w:rsid w:val="009A2A0F"/>
    <w:rsid w:val="009A3703"/>
    <w:rsid w:val="009A3C6F"/>
    <w:rsid w:val="009A73F6"/>
    <w:rsid w:val="009A764C"/>
    <w:rsid w:val="009B2E43"/>
    <w:rsid w:val="009B306B"/>
    <w:rsid w:val="009B42F4"/>
    <w:rsid w:val="009C0AAE"/>
    <w:rsid w:val="009C405A"/>
    <w:rsid w:val="009C51F9"/>
    <w:rsid w:val="009D0D3B"/>
    <w:rsid w:val="009D0EF3"/>
    <w:rsid w:val="009D758C"/>
    <w:rsid w:val="009E0476"/>
    <w:rsid w:val="009E26FC"/>
    <w:rsid w:val="009E538C"/>
    <w:rsid w:val="009E72BC"/>
    <w:rsid w:val="009F22CF"/>
    <w:rsid w:val="009F27AF"/>
    <w:rsid w:val="009F6CB3"/>
    <w:rsid w:val="009F6E47"/>
    <w:rsid w:val="00A01855"/>
    <w:rsid w:val="00A040F2"/>
    <w:rsid w:val="00A05B0A"/>
    <w:rsid w:val="00A0786E"/>
    <w:rsid w:val="00A16622"/>
    <w:rsid w:val="00A16657"/>
    <w:rsid w:val="00A17F42"/>
    <w:rsid w:val="00A31A7F"/>
    <w:rsid w:val="00A32B41"/>
    <w:rsid w:val="00A34577"/>
    <w:rsid w:val="00A52283"/>
    <w:rsid w:val="00A647E6"/>
    <w:rsid w:val="00A661B6"/>
    <w:rsid w:val="00A670B1"/>
    <w:rsid w:val="00A7055A"/>
    <w:rsid w:val="00A71AB2"/>
    <w:rsid w:val="00A74790"/>
    <w:rsid w:val="00A7537F"/>
    <w:rsid w:val="00A808D6"/>
    <w:rsid w:val="00A80AC0"/>
    <w:rsid w:val="00A81D0C"/>
    <w:rsid w:val="00A82A17"/>
    <w:rsid w:val="00A87B51"/>
    <w:rsid w:val="00A94CF0"/>
    <w:rsid w:val="00AA35B6"/>
    <w:rsid w:val="00AA49B2"/>
    <w:rsid w:val="00AA7D7A"/>
    <w:rsid w:val="00AB03F3"/>
    <w:rsid w:val="00AB159E"/>
    <w:rsid w:val="00AB2165"/>
    <w:rsid w:val="00AB6C60"/>
    <w:rsid w:val="00AC0751"/>
    <w:rsid w:val="00AC4E57"/>
    <w:rsid w:val="00AC64B3"/>
    <w:rsid w:val="00AD5227"/>
    <w:rsid w:val="00AD5BAA"/>
    <w:rsid w:val="00AD6B4C"/>
    <w:rsid w:val="00AE22D5"/>
    <w:rsid w:val="00AE3BA8"/>
    <w:rsid w:val="00AE4ADB"/>
    <w:rsid w:val="00AF56D8"/>
    <w:rsid w:val="00B0388D"/>
    <w:rsid w:val="00B03C2B"/>
    <w:rsid w:val="00B077C3"/>
    <w:rsid w:val="00B16018"/>
    <w:rsid w:val="00B16A26"/>
    <w:rsid w:val="00B16B64"/>
    <w:rsid w:val="00B2652E"/>
    <w:rsid w:val="00B2733B"/>
    <w:rsid w:val="00B27989"/>
    <w:rsid w:val="00B30919"/>
    <w:rsid w:val="00B312EB"/>
    <w:rsid w:val="00B340CB"/>
    <w:rsid w:val="00B35E8E"/>
    <w:rsid w:val="00B379B1"/>
    <w:rsid w:val="00B42785"/>
    <w:rsid w:val="00B513BF"/>
    <w:rsid w:val="00B522A3"/>
    <w:rsid w:val="00B54416"/>
    <w:rsid w:val="00B54C9A"/>
    <w:rsid w:val="00B56B8A"/>
    <w:rsid w:val="00B613C0"/>
    <w:rsid w:val="00B71221"/>
    <w:rsid w:val="00B71390"/>
    <w:rsid w:val="00B739EE"/>
    <w:rsid w:val="00B85036"/>
    <w:rsid w:val="00B85090"/>
    <w:rsid w:val="00B85B27"/>
    <w:rsid w:val="00B928AB"/>
    <w:rsid w:val="00B93E61"/>
    <w:rsid w:val="00B97235"/>
    <w:rsid w:val="00BA115F"/>
    <w:rsid w:val="00BA3BBF"/>
    <w:rsid w:val="00BA462B"/>
    <w:rsid w:val="00BA56E1"/>
    <w:rsid w:val="00BA621A"/>
    <w:rsid w:val="00BB2AD9"/>
    <w:rsid w:val="00BC656C"/>
    <w:rsid w:val="00BD173C"/>
    <w:rsid w:val="00BD19C6"/>
    <w:rsid w:val="00BD655B"/>
    <w:rsid w:val="00BE3924"/>
    <w:rsid w:val="00BE7744"/>
    <w:rsid w:val="00BE779B"/>
    <w:rsid w:val="00BE7E65"/>
    <w:rsid w:val="00BE7F0D"/>
    <w:rsid w:val="00BF530E"/>
    <w:rsid w:val="00C02184"/>
    <w:rsid w:val="00C02B22"/>
    <w:rsid w:val="00C0422A"/>
    <w:rsid w:val="00C043BA"/>
    <w:rsid w:val="00C0609E"/>
    <w:rsid w:val="00C06D85"/>
    <w:rsid w:val="00C102FB"/>
    <w:rsid w:val="00C10577"/>
    <w:rsid w:val="00C11BE8"/>
    <w:rsid w:val="00C23820"/>
    <w:rsid w:val="00C24577"/>
    <w:rsid w:val="00C263DB"/>
    <w:rsid w:val="00C2738B"/>
    <w:rsid w:val="00C363E1"/>
    <w:rsid w:val="00C366A1"/>
    <w:rsid w:val="00C3670A"/>
    <w:rsid w:val="00C36A89"/>
    <w:rsid w:val="00C3794F"/>
    <w:rsid w:val="00C4263A"/>
    <w:rsid w:val="00C4447E"/>
    <w:rsid w:val="00C532CB"/>
    <w:rsid w:val="00C57FBF"/>
    <w:rsid w:val="00C60104"/>
    <w:rsid w:val="00C62276"/>
    <w:rsid w:val="00C63B28"/>
    <w:rsid w:val="00C64906"/>
    <w:rsid w:val="00C66245"/>
    <w:rsid w:val="00C74B1E"/>
    <w:rsid w:val="00C74BDB"/>
    <w:rsid w:val="00C75DD4"/>
    <w:rsid w:val="00C77459"/>
    <w:rsid w:val="00C804BD"/>
    <w:rsid w:val="00C86C78"/>
    <w:rsid w:val="00C877DA"/>
    <w:rsid w:val="00C90A0F"/>
    <w:rsid w:val="00C9555F"/>
    <w:rsid w:val="00CA4019"/>
    <w:rsid w:val="00CA5AD9"/>
    <w:rsid w:val="00CB1013"/>
    <w:rsid w:val="00CD2B7C"/>
    <w:rsid w:val="00CE0BD4"/>
    <w:rsid w:val="00CE28F1"/>
    <w:rsid w:val="00CE6AD8"/>
    <w:rsid w:val="00CF060E"/>
    <w:rsid w:val="00CF08CB"/>
    <w:rsid w:val="00D00539"/>
    <w:rsid w:val="00D0761E"/>
    <w:rsid w:val="00D11175"/>
    <w:rsid w:val="00D1155D"/>
    <w:rsid w:val="00D11986"/>
    <w:rsid w:val="00D12660"/>
    <w:rsid w:val="00D13A68"/>
    <w:rsid w:val="00D16D0B"/>
    <w:rsid w:val="00D16DEF"/>
    <w:rsid w:val="00D16E2E"/>
    <w:rsid w:val="00D31945"/>
    <w:rsid w:val="00D33FF9"/>
    <w:rsid w:val="00D34053"/>
    <w:rsid w:val="00D424BB"/>
    <w:rsid w:val="00D42AD1"/>
    <w:rsid w:val="00D42C45"/>
    <w:rsid w:val="00D43382"/>
    <w:rsid w:val="00D457BD"/>
    <w:rsid w:val="00D473C1"/>
    <w:rsid w:val="00D501E6"/>
    <w:rsid w:val="00D52465"/>
    <w:rsid w:val="00D56AFB"/>
    <w:rsid w:val="00D5797B"/>
    <w:rsid w:val="00D60CF8"/>
    <w:rsid w:val="00D6469C"/>
    <w:rsid w:val="00D65791"/>
    <w:rsid w:val="00D71846"/>
    <w:rsid w:val="00D75957"/>
    <w:rsid w:val="00D813D1"/>
    <w:rsid w:val="00D82934"/>
    <w:rsid w:val="00D82F51"/>
    <w:rsid w:val="00D835A5"/>
    <w:rsid w:val="00D933D8"/>
    <w:rsid w:val="00D9779D"/>
    <w:rsid w:val="00DA3C16"/>
    <w:rsid w:val="00DA47F4"/>
    <w:rsid w:val="00DB0FFE"/>
    <w:rsid w:val="00DB1775"/>
    <w:rsid w:val="00DB3B30"/>
    <w:rsid w:val="00DB680D"/>
    <w:rsid w:val="00DC176D"/>
    <w:rsid w:val="00DC1C85"/>
    <w:rsid w:val="00DC33A1"/>
    <w:rsid w:val="00DC4066"/>
    <w:rsid w:val="00DC5572"/>
    <w:rsid w:val="00DC60E9"/>
    <w:rsid w:val="00DD0581"/>
    <w:rsid w:val="00DD0DE0"/>
    <w:rsid w:val="00DD1005"/>
    <w:rsid w:val="00DD1298"/>
    <w:rsid w:val="00DD5DB5"/>
    <w:rsid w:val="00DE1889"/>
    <w:rsid w:val="00DE2EAC"/>
    <w:rsid w:val="00DE517F"/>
    <w:rsid w:val="00DE5789"/>
    <w:rsid w:val="00DE6D69"/>
    <w:rsid w:val="00DF01BA"/>
    <w:rsid w:val="00DF06D0"/>
    <w:rsid w:val="00DF1F19"/>
    <w:rsid w:val="00DF20BA"/>
    <w:rsid w:val="00DF34C5"/>
    <w:rsid w:val="00DF4A05"/>
    <w:rsid w:val="00DF577F"/>
    <w:rsid w:val="00E00008"/>
    <w:rsid w:val="00E0452F"/>
    <w:rsid w:val="00E06DED"/>
    <w:rsid w:val="00E118D6"/>
    <w:rsid w:val="00E20832"/>
    <w:rsid w:val="00E22E71"/>
    <w:rsid w:val="00E24B09"/>
    <w:rsid w:val="00E2552D"/>
    <w:rsid w:val="00E27D23"/>
    <w:rsid w:val="00E30785"/>
    <w:rsid w:val="00E31EFB"/>
    <w:rsid w:val="00E32546"/>
    <w:rsid w:val="00E34CE2"/>
    <w:rsid w:val="00E40CF8"/>
    <w:rsid w:val="00E40E93"/>
    <w:rsid w:val="00E417CF"/>
    <w:rsid w:val="00E44FC6"/>
    <w:rsid w:val="00E627DD"/>
    <w:rsid w:val="00E64678"/>
    <w:rsid w:val="00E67D5C"/>
    <w:rsid w:val="00E73FBC"/>
    <w:rsid w:val="00E74ACA"/>
    <w:rsid w:val="00E756C4"/>
    <w:rsid w:val="00E779BD"/>
    <w:rsid w:val="00E80458"/>
    <w:rsid w:val="00E8330B"/>
    <w:rsid w:val="00E8702E"/>
    <w:rsid w:val="00E91E13"/>
    <w:rsid w:val="00E93771"/>
    <w:rsid w:val="00E938FA"/>
    <w:rsid w:val="00E94838"/>
    <w:rsid w:val="00E972CE"/>
    <w:rsid w:val="00EA3AEA"/>
    <w:rsid w:val="00EA62BC"/>
    <w:rsid w:val="00EA6A9A"/>
    <w:rsid w:val="00EA73E0"/>
    <w:rsid w:val="00EB3FFF"/>
    <w:rsid w:val="00EB453B"/>
    <w:rsid w:val="00EB71BF"/>
    <w:rsid w:val="00EC09C5"/>
    <w:rsid w:val="00EC231E"/>
    <w:rsid w:val="00EC5B3A"/>
    <w:rsid w:val="00EC7D96"/>
    <w:rsid w:val="00ED2B4C"/>
    <w:rsid w:val="00ED4BE3"/>
    <w:rsid w:val="00ED5D55"/>
    <w:rsid w:val="00EE1585"/>
    <w:rsid w:val="00EE5EA3"/>
    <w:rsid w:val="00EF2EF5"/>
    <w:rsid w:val="00EF461F"/>
    <w:rsid w:val="00F0427B"/>
    <w:rsid w:val="00F05651"/>
    <w:rsid w:val="00F1061E"/>
    <w:rsid w:val="00F1298D"/>
    <w:rsid w:val="00F15D92"/>
    <w:rsid w:val="00F17226"/>
    <w:rsid w:val="00F22CAA"/>
    <w:rsid w:val="00F233D2"/>
    <w:rsid w:val="00F23B57"/>
    <w:rsid w:val="00F31060"/>
    <w:rsid w:val="00F31681"/>
    <w:rsid w:val="00F35BF4"/>
    <w:rsid w:val="00F40CA0"/>
    <w:rsid w:val="00F40F1E"/>
    <w:rsid w:val="00F432D0"/>
    <w:rsid w:val="00F43B06"/>
    <w:rsid w:val="00F464BE"/>
    <w:rsid w:val="00F472DF"/>
    <w:rsid w:val="00F5337C"/>
    <w:rsid w:val="00F535AD"/>
    <w:rsid w:val="00F60F4C"/>
    <w:rsid w:val="00F6464F"/>
    <w:rsid w:val="00F67C49"/>
    <w:rsid w:val="00F67F26"/>
    <w:rsid w:val="00F70B47"/>
    <w:rsid w:val="00F73403"/>
    <w:rsid w:val="00F73D04"/>
    <w:rsid w:val="00F80A13"/>
    <w:rsid w:val="00F80D08"/>
    <w:rsid w:val="00F83361"/>
    <w:rsid w:val="00F8410F"/>
    <w:rsid w:val="00F85D69"/>
    <w:rsid w:val="00F9068C"/>
    <w:rsid w:val="00F91DAA"/>
    <w:rsid w:val="00F92CFB"/>
    <w:rsid w:val="00F9461B"/>
    <w:rsid w:val="00F94C97"/>
    <w:rsid w:val="00FA2441"/>
    <w:rsid w:val="00FA280A"/>
    <w:rsid w:val="00FB1349"/>
    <w:rsid w:val="00FB3FDE"/>
    <w:rsid w:val="00FC0C86"/>
    <w:rsid w:val="00FC3023"/>
    <w:rsid w:val="00FC3315"/>
    <w:rsid w:val="00FC3827"/>
    <w:rsid w:val="00FC3D20"/>
    <w:rsid w:val="00FC7F75"/>
    <w:rsid w:val="00FD052F"/>
    <w:rsid w:val="00FD2576"/>
    <w:rsid w:val="00FD4C78"/>
    <w:rsid w:val="00FE5AC9"/>
    <w:rsid w:val="00FF286B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25253673187759"/>
          <c:y val="0.11166765918966011"/>
          <c:w val="0.87010742213924286"/>
          <c:h val="0.63312291845872204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27"/>
            <c:spPr>
              <a:solidFill>
                <a:srgbClr val="66CCFF"/>
              </a:solidFill>
            </c:spPr>
          </c:dPt>
          <c:dPt>
            <c:idx val="1"/>
            <c:bubble3D val="0"/>
            <c:explosion val="27"/>
            <c:spPr>
              <a:solidFill>
                <a:srgbClr val="FF99FF"/>
              </a:solidFill>
            </c:spPr>
          </c:dPt>
          <c:dPt>
            <c:idx val="2"/>
            <c:bubble3D val="0"/>
            <c:explosion val="8"/>
            <c:spPr>
              <a:solidFill>
                <a:srgbClr val="00FF99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Структура!$B$2:$D$2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Бытовое обслуживание</c:v>
                </c:pt>
              </c:strCache>
            </c:strRef>
          </c:cat>
          <c:val>
            <c:numRef>
              <c:f>Структура!$B$3:$D$3</c:f>
              <c:numCache>
                <c:formatCode>General</c:formatCode>
                <c:ptCount val="3"/>
                <c:pt idx="0">
                  <c:v>123</c:v>
                </c:pt>
                <c:pt idx="1">
                  <c:v>57</c:v>
                </c:pt>
                <c:pt idx="2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4365722325946373"/>
          <c:y val="0.7688330135203687"/>
          <c:w val="0.57721150481189842"/>
          <c:h val="0.19105341136620449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783470906716367E-2"/>
          <c:y val="1.5151515151515152E-2"/>
          <c:w val="0.98921652909328361"/>
          <c:h val="0.87805376600652196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5BD4FF"/>
            </a:solidFill>
          </c:spPr>
          <c:invertIfNegative val="0"/>
          <c:dLbls>
            <c:dLbl>
              <c:idx val="0"/>
              <c:layout>
                <c:manualLayout>
                  <c:x val="2.2780770824699544E-2"/>
                  <c:y val="-0.38634992054564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593430322594717E-2"/>
                  <c:y val="-0.4108904244112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181691277510079E-2"/>
                  <c:y val="-0.44986590961844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товарооборот!$I$2:$K$2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товарооборот!$I$3:$K$3</c:f>
              <c:numCache>
                <c:formatCode>0.00</c:formatCode>
                <c:ptCount val="3"/>
                <c:pt idx="0" formatCode="General">
                  <c:v>4.8600000000000003</c:v>
                </c:pt>
                <c:pt idx="1">
                  <c:v>5.18</c:v>
                </c:pt>
                <c:pt idx="2">
                  <c:v>5.8490000000000002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0415360"/>
        <c:axId val="120417280"/>
        <c:axId val="0"/>
      </c:bar3DChart>
      <c:catAx>
        <c:axId val="1204153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417280"/>
        <c:crosses val="autoZero"/>
        <c:auto val="1"/>
        <c:lblAlgn val="ctr"/>
        <c:lblOffset val="100"/>
        <c:noMultiLvlLbl val="0"/>
      </c:catAx>
      <c:valAx>
        <c:axId val="12041728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204153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91357137058898"/>
          <c:y val="4.856512141280353E-2"/>
          <c:w val="0.86668583952779099"/>
          <c:h val="0.64763066868297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ДиаграммаОбеспеч!$C$1</c:f>
              <c:strCache>
                <c:ptCount val="1"/>
                <c:pt idx="0">
                  <c:v>фактическая обеспеченность продовольственная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44927</c:v>
                </c:pt>
                <c:pt idx="1">
                  <c:v>44562</c:v>
                </c:pt>
                <c:pt idx="2">
                  <c:v>44197</c:v>
                </c:pt>
              </c:numCache>
            </c:numRef>
          </c:cat>
          <c:val>
            <c:numRef>
              <c:f>ДиаграммаОбеспеч!$C$2:$C$4</c:f>
              <c:numCache>
                <c:formatCode>0.0</c:formatCode>
                <c:ptCount val="3"/>
                <c:pt idx="0">
                  <c:v>352</c:v>
                </c:pt>
                <c:pt idx="1">
                  <c:v>325.39999999999998</c:v>
                </c:pt>
                <c:pt idx="2" formatCode="General">
                  <c:v>332.5</c:v>
                </c:pt>
              </c:numCache>
            </c:numRef>
          </c:val>
        </c:ser>
        <c:ser>
          <c:idx val="2"/>
          <c:order val="2"/>
          <c:tx>
            <c:strRef>
              <c:f>ДиаграммаОбеспеч!$E$1</c:f>
              <c:strCache>
                <c:ptCount val="1"/>
                <c:pt idx="0">
                  <c:v>фактическая обеспеченность непродовольственная</c:v>
                </c:pt>
              </c:strCache>
            </c:strRef>
          </c:tx>
          <c:spPr>
            <a:solidFill>
              <a:srgbClr val="55F430"/>
            </a:solidFill>
          </c:spPr>
          <c:invertIfNegative val="0"/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44927</c:v>
                </c:pt>
                <c:pt idx="1">
                  <c:v>44562</c:v>
                </c:pt>
                <c:pt idx="2">
                  <c:v>44197</c:v>
                </c:pt>
              </c:numCache>
            </c:numRef>
          </c:cat>
          <c:val>
            <c:numRef>
              <c:f>ДиаграммаОбеспеч!$E$2:$E$4</c:f>
              <c:numCache>
                <c:formatCode>0.0</c:formatCode>
                <c:ptCount val="3"/>
                <c:pt idx="0">
                  <c:v>974.8</c:v>
                </c:pt>
                <c:pt idx="1">
                  <c:v>890.3</c:v>
                </c:pt>
                <c:pt idx="2" formatCode="General">
                  <c:v>894.8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52640"/>
        <c:axId val="115554176"/>
      </c:barChart>
      <c:lineChart>
        <c:grouping val="standard"/>
        <c:varyColors val="0"/>
        <c:ser>
          <c:idx val="1"/>
          <c:order val="1"/>
          <c:tx>
            <c:strRef>
              <c:f>ДиаграммаОбеспеч!$D$1</c:f>
              <c:strCache>
                <c:ptCount val="1"/>
                <c:pt idx="0">
                  <c:v>минимальный норматив продовольственный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8242329693187725E-2"/>
                  <c:y val="-3.2560028386191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242329693187725E-2"/>
                  <c:y val="-2.8247525855871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6162246489859596E-2"/>
                  <c:y val="-2.645768353879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44927</c:v>
                </c:pt>
                <c:pt idx="1">
                  <c:v>44562</c:v>
                </c:pt>
                <c:pt idx="2">
                  <c:v>44197</c:v>
                </c:pt>
              </c:numCache>
            </c:numRef>
          </c:cat>
          <c:val>
            <c:numRef>
              <c:f>ДиаграммаОбеспеч!$D$2:$D$4</c:f>
              <c:numCache>
                <c:formatCode>General</c:formatCode>
                <c:ptCount val="3"/>
                <c:pt idx="0">
                  <c:v>147</c:v>
                </c:pt>
                <c:pt idx="1">
                  <c:v>147</c:v>
                </c:pt>
                <c:pt idx="2">
                  <c:v>147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ДиаграммаОбеспеч!$F$1</c:f>
              <c:strCache>
                <c:ptCount val="1"/>
                <c:pt idx="0">
                  <c:v>минимальный норматив непродовольственный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9.3967339685652133E-3"/>
                  <c:y val="3.2559687597308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086665236884301E-3"/>
                  <c:y val="3.2559687597308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426463229061348E-3"/>
                  <c:y val="3.2559687597308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44927</c:v>
                </c:pt>
                <c:pt idx="1">
                  <c:v>44562</c:v>
                </c:pt>
                <c:pt idx="2">
                  <c:v>44197</c:v>
                </c:pt>
              </c:numCache>
            </c:numRef>
          </c:cat>
          <c:val>
            <c:numRef>
              <c:f>ДиаграммаОбеспеч!$F$2:$F$4</c:f>
              <c:numCache>
                <c:formatCode>General</c:formatCode>
                <c:ptCount val="3"/>
                <c:pt idx="0">
                  <c:v>300</c:v>
                </c:pt>
                <c:pt idx="1">
                  <c:v>300</c:v>
                </c:pt>
                <c:pt idx="2">
                  <c:v>300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552640"/>
        <c:axId val="115554176"/>
      </c:lineChart>
      <c:dateAx>
        <c:axId val="11555264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1" i="0" baseline="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15554176"/>
        <c:crosses val="autoZero"/>
        <c:auto val="1"/>
        <c:lblOffset val="100"/>
        <c:baseTimeUnit val="years"/>
      </c:dateAx>
      <c:valAx>
        <c:axId val="115554176"/>
        <c:scaling>
          <c:orientation val="minMax"/>
          <c:max val="1050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 b="1" i="0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15552640"/>
        <c:crosses val="autoZero"/>
        <c:crossBetween val="between"/>
        <c:majorUnit val="15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609980304724002"/>
          <c:y val="0.79777026569325216"/>
          <c:w val="0.76396264039537964"/>
          <c:h val="0.19530795121060684"/>
        </c:manualLayout>
      </c:layout>
      <c:overlay val="0"/>
      <c:txPr>
        <a:bodyPr/>
        <a:lstStyle/>
        <a:p>
          <a:pPr>
            <a:defRPr b="1" i="0" baseline="0">
              <a:latin typeface="+mn-lt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73028371453568E-2"/>
          <c:y val="1.936053447864468E-3"/>
          <c:w val="0.93888888888888888"/>
          <c:h val="0.86740491529467922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33CC33"/>
            </a:solidFill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6461571821594594E-4"/>
                  <c:y val="-0.432145257962157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6461571821594594E-4"/>
                  <c:y val="-0.351851921494887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Ярмарки!$B$3:$B$5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Ярмарки!$C$3:$C$5</c:f>
              <c:numCache>
                <c:formatCode>General</c:formatCode>
                <c:ptCount val="3"/>
                <c:pt idx="0">
                  <c:v>56</c:v>
                </c:pt>
                <c:pt idx="1">
                  <c:v>60</c:v>
                </c:pt>
                <c:pt idx="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5632000"/>
        <c:axId val="115633536"/>
      </c:barChart>
      <c:catAx>
        <c:axId val="11563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633536"/>
        <c:crosses val="autoZero"/>
        <c:auto val="1"/>
        <c:lblAlgn val="ctr"/>
        <c:lblOffset val="100"/>
        <c:noMultiLvlLbl val="0"/>
      </c:catAx>
      <c:valAx>
        <c:axId val="11563353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563200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782798304058145E-2"/>
          <c:y val="0.15230984657845603"/>
          <c:w val="0.95309485160508767"/>
          <c:h val="0.7195603234159488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99FF"/>
            </a:solidFill>
          </c:spPr>
          <c:invertIfNegative val="0"/>
          <c:dLbls>
            <c:dLbl>
              <c:idx val="0"/>
              <c:layout>
                <c:manualLayout>
                  <c:x val="1.7741275884273433E-2"/>
                  <c:y val="-3.2161666066251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993888317762289E-2"/>
                  <c:y val="-3.4236700804556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93888317762289E-2"/>
                  <c:y val="-3.2214159504571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товарооборот!$I$6:$K$6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товарооборот!$I$7:$K$7</c:f>
              <c:numCache>
                <c:formatCode>0.0</c:formatCode>
                <c:ptCount val="3"/>
                <c:pt idx="0">
                  <c:v>205.12700000000001</c:v>
                </c:pt>
                <c:pt idx="1">
                  <c:v>253.267</c:v>
                </c:pt>
                <c:pt idx="2" formatCode="General">
                  <c:v>299.10000000000002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056064"/>
        <c:axId val="116057600"/>
        <c:axId val="0"/>
      </c:bar3DChart>
      <c:catAx>
        <c:axId val="116056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057600"/>
        <c:crosses val="autoZero"/>
        <c:auto val="1"/>
        <c:lblAlgn val="ctr"/>
        <c:lblOffset val="100"/>
        <c:noMultiLvlLbl val="0"/>
      </c:catAx>
      <c:valAx>
        <c:axId val="1160576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6056064"/>
        <c:crosses val="autoZero"/>
        <c:crossBetween val="between"/>
        <c:majorUnit val="1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101670127055016E-2"/>
          <c:y val="0"/>
          <c:w val="0.98589832987294501"/>
          <c:h val="0.8100881547415268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FFCC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2.4049838597761487E-2"/>
                  <c:y val="-2.871692050298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91908770024436E-2"/>
                  <c:y val="-3.1341503897173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591908770024436E-2"/>
                  <c:y val="-2.9718898965622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товарооборот!$I$10:$K$10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товарооборот!$I$11:$K$11</c:f>
              <c:numCache>
                <c:formatCode>0.00</c:formatCode>
                <c:ptCount val="3"/>
                <c:pt idx="0" formatCode="General">
                  <c:v>4.3499999999999996</c:v>
                </c:pt>
                <c:pt idx="1">
                  <c:v>2.8906000000000001</c:v>
                </c:pt>
                <c:pt idx="2">
                  <c:v>3.1110000000000002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822976"/>
        <c:axId val="117824512"/>
        <c:axId val="0"/>
      </c:bar3DChart>
      <c:catAx>
        <c:axId val="1178229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824512"/>
        <c:crosses val="autoZero"/>
        <c:auto val="1"/>
        <c:lblAlgn val="ctr"/>
        <c:lblOffset val="100"/>
        <c:noMultiLvlLbl val="0"/>
      </c:catAx>
      <c:valAx>
        <c:axId val="117824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7822976"/>
        <c:crosses val="autoZero"/>
        <c:crossBetween val="between"/>
        <c:majorUnit val="2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0.00417</cdr:x>
      <cdr:y>4.41121E-7</cdr:y>
    </cdr:from>
    <cdr:to>
      <cdr:x>1</cdr:x>
      <cdr:y>0.09382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696" y="1"/>
          <a:ext cx="3509554" cy="2126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0994-5848-4661-9021-E8B235B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7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499</cp:revision>
  <cp:lastPrinted>2022-01-26T06:11:00Z</cp:lastPrinted>
  <dcterms:created xsi:type="dcterms:W3CDTF">2020-01-14T08:14:00Z</dcterms:created>
  <dcterms:modified xsi:type="dcterms:W3CDTF">2023-04-18T08:00:00Z</dcterms:modified>
</cp:coreProperties>
</file>