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F06D55">
              <w:rPr>
                <w:rFonts w:ascii="Times New Roman" w:hAnsi="Times New Roman" w:cs="Times New Roman"/>
              </w:rPr>
              <w:t xml:space="preserve">  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 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 стр.3 вкладыша</w:t>
      </w:r>
      <w:r w:rsidR="001F3FDD">
        <w:rPr>
          <w:rFonts w:ascii="Times New Roman" w:hAnsi="Times New Roman" w:cs="Times New Roman"/>
          <w:sz w:val="28"/>
          <w:szCs w:val="28"/>
        </w:rPr>
        <w:t>, 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</w:t>
      </w:r>
      <w:proofErr w:type="gramEnd"/>
      <w:r w:rsidR="00395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E68">
        <w:rPr>
          <w:rFonts w:ascii="Times New Roman" w:hAnsi="Times New Roman" w:cs="Times New Roman"/>
          <w:sz w:val="28"/>
          <w:szCs w:val="28"/>
        </w:rPr>
        <w:t>14.01.2021 стр.3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6C03CE">
        <w:rPr>
          <w:rFonts w:ascii="Times New Roman" w:hAnsi="Times New Roman" w:cs="Times New Roman"/>
          <w:sz w:val="28"/>
        </w:rPr>
        <w:t>после</w:t>
      </w:r>
      <w:r w:rsidR="0050078E">
        <w:rPr>
          <w:rFonts w:ascii="Times New Roman" w:hAnsi="Times New Roman" w:cs="Times New Roman"/>
          <w:sz w:val="28"/>
        </w:rPr>
        <w:t xml:space="preserve"> дня официального опубликования и распространяется на правоотношения, возникшие с 01.05.2021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FA290D" w:rsidRDefault="00FA290D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15"/>
      <w:bookmarkEnd w:id="1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9C4E2B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6 189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9C4E2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6 382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9C4E2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6 546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6 709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7 255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3D249A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74F4">
              <w:rPr>
                <w:rFonts w:ascii="Times New Roman" w:hAnsi="Times New Roman" w:cs="Times New Roman"/>
                <w:sz w:val="28"/>
                <w:szCs w:val="28"/>
              </w:rPr>
              <w:t xml:space="preserve"> 713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8 073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EF74F4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8 828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9 207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9 740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10 088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10 615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11 833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D805C7" w:rsidRDefault="003D249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6329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</w:tcPr>
          <w:p w:rsidR="003D249A" w:rsidRPr="00D805C7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6348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</w:tcPr>
          <w:p w:rsidR="003D249A" w:rsidRDefault="003D249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7293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библиотеки, клубного учреждения, музея, научно-методического центра народного творчества, дома народного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</w:tcPr>
          <w:p w:rsidR="003D249A" w:rsidRDefault="003D249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C51186" w:rsidRDefault="003D249A" w:rsidP="003D249A">
      <w:pPr>
        <w:pStyle w:val="a3"/>
        <w:numPr>
          <w:ilvl w:val="0"/>
          <w:numId w:val="1"/>
        </w:numPr>
        <w:tabs>
          <w:tab w:val="left" w:pos="851"/>
        </w:tabs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5118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5 874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E11E5D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7 468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8 611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9 241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5 874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6 639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7 468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8 611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9 902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Pr="009C687E" w:rsidRDefault="003D249A" w:rsidP="002F7167">
      <w:pPr>
        <w:pStyle w:val="a3"/>
        <w:ind w:left="567"/>
        <w:jc w:val="both"/>
        <w:rPr>
          <w:sz w:val="28"/>
          <w:szCs w:val="28"/>
        </w:rPr>
      </w:pPr>
    </w:p>
    <w:sectPr w:rsidR="003D249A" w:rsidRPr="009C687E" w:rsidSect="00FA29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D"/>
    <w:rsid w:val="00012E57"/>
    <w:rsid w:val="00026FFB"/>
    <w:rsid w:val="000317DE"/>
    <w:rsid w:val="000451F5"/>
    <w:rsid w:val="00055849"/>
    <w:rsid w:val="000B0734"/>
    <w:rsid w:val="000B0F2F"/>
    <w:rsid w:val="001B6D24"/>
    <w:rsid w:val="001C036D"/>
    <w:rsid w:val="001C7297"/>
    <w:rsid w:val="001D3001"/>
    <w:rsid w:val="001F3FDD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319DF"/>
    <w:rsid w:val="00340B5F"/>
    <w:rsid w:val="00372244"/>
    <w:rsid w:val="003761C4"/>
    <w:rsid w:val="00395E68"/>
    <w:rsid w:val="003D249A"/>
    <w:rsid w:val="003E1728"/>
    <w:rsid w:val="003F0491"/>
    <w:rsid w:val="003F5859"/>
    <w:rsid w:val="00457FF3"/>
    <w:rsid w:val="00476264"/>
    <w:rsid w:val="0050078E"/>
    <w:rsid w:val="00526CDF"/>
    <w:rsid w:val="005478D8"/>
    <w:rsid w:val="005B7504"/>
    <w:rsid w:val="005C3404"/>
    <w:rsid w:val="005E4877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825B37"/>
    <w:rsid w:val="0086434C"/>
    <w:rsid w:val="00875BC7"/>
    <w:rsid w:val="008779E4"/>
    <w:rsid w:val="008F0842"/>
    <w:rsid w:val="008F5B3F"/>
    <w:rsid w:val="008F7F8D"/>
    <w:rsid w:val="00934242"/>
    <w:rsid w:val="00973093"/>
    <w:rsid w:val="00973625"/>
    <w:rsid w:val="00985383"/>
    <w:rsid w:val="009B13E3"/>
    <w:rsid w:val="009C4E2B"/>
    <w:rsid w:val="009D09B8"/>
    <w:rsid w:val="00A1769A"/>
    <w:rsid w:val="00A17C4B"/>
    <w:rsid w:val="00A35FDD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A712D"/>
    <w:rsid w:val="00CB7A13"/>
    <w:rsid w:val="00CF1927"/>
    <w:rsid w:val="00D2653D"/>
    <w:rsid w:val="00D32B7F"/>
    <w:rsid w:val="00D458EA"/>
    <w:rsid w:val="00D8448A"/>
    <w:rsid w:val="00DB6C2C"/>
    <w:rsid w:val="00DE1343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6D55"/>
    <w:rsid w:val="00F1264A"/>
    <w:rsid w:val="00F378ED"/>
    <w:rsid w:val="00F37BD4"/>
    <w:rsid w:val="00F5191F"/>
    <w:rsid w:val="00F54A5C"/>
    <w:rsid w:val="00F70B8B"/>
    <w:rsid w:val="00FA290D"/>
    <w:rsid w:val="00FA6F66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2021-05-12T02:27:00Z</cp:lastPrinted>
  <dcterms:created xsi:type="dcterms:W3CDTF">2021-05-13T00:29:00Z</dcterms:created>
  <dcterms:modified xsi:type="dcterms:W3CDTF">2021-05-13T00:29:00Z</dcterms:modified>
</cp:coreProperties>
</file>