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ИНИЦИАТИВНЫЙ ПРОЕКТ</w:t>
      </w:r>
      <w:r/>
    </w:p>
    <w:p>
      <w:pPr>
        <w:pStyle w:val="817"/>
        <w:jc w:val="both"/>
      </w:pPr>
      <w:r/>
      <w:r/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>
        <w:trPr>
          <w:tblHeader/>
        </w:trPr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без антракта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приоритетного направления инициативного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города Саянска на 2020-2026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Саянск» от 04.09.2019 № 110-37-978-19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tooltip="#P255" w:anchor="P25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строк 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tooltip="#P264" w:anchor="P2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4.4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255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tooltip="#P373" w:anchor="P37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&lt;1&gt;</w:t>
              </w:r>
            </w:hyperlink>
            <w:r/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Остапенко Юлия Анатольевна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Лалетина Наталья Викторовна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(Решение Думы городского округа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Саянск» от 24.06.2021 № 71-67-21-39 «Об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инициативных проектов на территории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Саянск»)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территориального общественного самоуправления, с указанием его наименования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264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Федеральной образовательной программы дошкольного образования обуславливает актуальность темы инновационного проекта.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 с двух лет в образовательной области «Художественно-эстетическое развитие» перед педагогами стоят задачи: 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пробуждать интерес к театрализованной игре путем первого опыта общения с персонажем, расширения контактов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проявлению самостоятельности, активности в театрализованной игре;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следить за действиями сказочных героев, адекватно реагировать на них;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формированию навыка перевоплощения в образы сказочных героев;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условия для систематического восприятия театрализованных выступлений педагогического театра (взрослых).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в дошкольном учреждении существует проблема – костюмы для театрализованной деятельности имеются в неполном объеме.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 (ожидаемых результатов) реализации инициативного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инновационного проекта: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самостоятельность детей в организации театрализованных игр;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желание самостоятельно выбирать литературный и музыкальный материал для театральной постановки;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проявление инициативы изготовления атрибутов и декораций к спектаклю;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умение распределять между собой обязанности и роли;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творческая самостоятельность, эстетический вкус в передаче образа;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развивается использование средства выразительности (поза, жесты, мимика, интонация, движения);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воспитывается любовь к театру.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родителей (законных представителей):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психолого-педагогической поддержки семьи и повышение компетентности родителей (законных представителей) в вопросах театрализованной деятельности детей раннего и дошкольного возрастов;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единства подходов к воспитанию и обучению детей в условиях ДОУ и семьи;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воспитательного потенциала семьи.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педагогов: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современных технологий по театрализованной деятельности;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детей использовать разные формы взаимодействия детей и взрослых в театрализованной игре;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проводить анализ сыгранных ролей, просмотренных спектаклей.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(в рублях)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костюмы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руб.;</w:t>
            </w:r>
            <w:r>
              <w:rPr>
                <w:highlight w:val="white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ткань</w:t>
            </w:r>
            <w:r>
              <w:rPr>
                <w:rFonts w:ascii="Times New Roman" w:hAnsi="Times New Roman" w:cs="Times New Roman"/>
                <w:highlight w:val="white"/>
              </w:rPr>
              <w:t xml:space="preserve"> - </w:t>
            </w:r>
            <w:r>
              <w:rPr>
                <w:rFonts w:ascii="Times New Roman" w:hAnsi="Times New Roman" w:cs="Times New Roman"/>
                <w:highlight w:val="white"/>
              </w:rPr>
              <w:t xml:space="preserve">50 </w:t>
            </w:r>
            <w:r>
              <w:rPr>
                <w:rFonts w:ascii="Times New Roman" w:hAnsi="Times New Roman" w:cs="Times New Roman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highlight w:val="white"/>
              </w:rPr>
              <w:t xml:space="preserve">,00</w:t>
            </w:r>
            <w:r>
              <w:rPr>
                <w:rFonts w:ascii="Times New Roman" w:hAnsi="Times New Roman" w:cs="Times New Roman"/>
                <w:highlight w:val="white"/>
              </w:rPr>
              <w:t xml:space="preserve"> руб.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финансирования инициативного проекта за счет инициативных платежей (в рублях)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руб.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(не более 1 года)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участии заинтересованных лиц в реализации данного проекта: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/>
          </w:p>
        </w:tc>
      </w:tr>
      <w:tr>
        <w:trPr/>
        <w:tc>
          <w:tcPr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</w:t>
            </w:r>
            <w:r/>
          </w:p>
        </w:tc>
        <w:tc>
          <w:tcPr>
            <w:tcW w:w="455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форма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специальной и специализированной техники)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доставки ткани, ниток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тесьмы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специальной и специализированной техники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оборудования и (или) инструментов, в том числе хозяйственного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швейная машинка, стиральная машинка, утюг, гладильная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метла, грабли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ведра, тряпки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(расходных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нитки, тесьма,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бытовая химия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етодическая работа:</w:t>
            </w:r>
            <w:r/>
          </w:p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сценариев</w:t>
            </w:r>
            <w:r/>
          </w:p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</w:tc>
      </w:tr>
      <w:tr>
        <w:trPr/>
        <w:tc>
          <w:tcPr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</w:t>
            </w:r>
            <w:r/>
          </w:p>
        </w:tc>
        <w:tc>
          <w:tcPr>
            <w:tcW w:w="455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изъявивших желание принять трудовое участие в реализации инициативного проекта</w:t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видов деятельности (работ)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человек</w:t>
            </w:r>
            <w:r/>
          </w:p>
        </w:tc>
      </w:tr>
      <w:tr>
        <w:trPr>
          <w:trHeight w:val="497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Изготовление занавеса</w:t>
            </w:r>
            <w:r>
              <w:t xml:space="preserve">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Изготовление атрибутов для постановки спектакля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Пошив штор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47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Подготовка костюмов для спектакля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447"/>
        </w:trPr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Подготовка территории для фестиваля театральных игр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Подготовка музыкального зала для фестиваля театральных игр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69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/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границах которой будет реализовываться инициативный проект: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 Саянск Иркутской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облаете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Саянск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(при наличии): улица, номер дома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микрорайон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Олимпийский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дом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учреждения, на территории (или в отношении) которого планируется реализации инициативного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комбинированного вида №22 «Солнышко»</w:t>
            </w:r>
            <w:r/>
          </w:p>
        </w:tc>
      </w:tr>
      <w:tr>
        <w:trPr/>
        <w:tc>
          <w:tcPr>
            <w:tcW w:w="54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455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благополучателей - всего (человек)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388</w:t>
            </w:r>
            <w:r/>
          </w:p>
        </w:tc>
      </w:tr>
      <w:tr>
        <w:trPr/>
        <w:tc>
          <w:tcPr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W w:w="455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одобрении проекта жителями муниципального образования (человек)</w:t>
            </w:r>
            <w:r/>
          </w:p>
        </w:tc>
        <w:tc>
          <w:tcPr>
            <w:gridSpan w:val="2"/>
            <w:tcW w:w="269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</w:t>
            </w:r>
            <w:r/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69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опроса граждан и (или) подписным листам</w:t>
            </w:r>
            <w:r/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694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</w:t>
            </w:r>
            <w:r/>
          </w:p>
        </w:tc>
        <w:tc>
          <w:tcPr>
            <w:gridSpan w:val="2"/>
            <w:tcW w:w="1984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455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инициативного проекта</w:t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поддержки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информационного ресурса (с указанием ссылки на опубликование информации)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средствах массовой информации (периодические печатные издания, телеканалы)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Саянские</w:t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зори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</w:t>
            </w:r>
            <w:r>
              <w:rPr>
                <w:highlight w:val="white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(сайты органов местного самоуправления муниципальных образований, муниципальных учреждений и др.)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" w:tooltip="https://mdou22.gosuslugi.ru/nash-detskiy-sad/novosti-i-sobytiya/initsiativnyy-proekt-teatr-bez-antrakta.html" w:history="1"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https://mdou22.gosuslugi.ru/nash-detskiy-sad/novosti-i-sobytiya/initsiativnyy-proekt-teatr-bez-antrakta.html</w:t>
              </w:r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Ссылку на сайт сада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публикацией статьи о проекте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социальных сетях ("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"Одноклассники",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и др.)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9" w:tooltip="https://vk.com/wall-217529527_1074" w:history="1"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https://vk.com/wall-217529527_1074</w:t>
              </w:r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20"/>
                  <w:highlight w:val="white"/>
                </w:rPr>
              </w:r>
            </w:hyperlink>
            <w:r>
              <w:rPr>
                <w:highlight w:val="white"/>
              </w:rPr>
            </w:r>
            <w:r/>
          </w:p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(адрес и фотографии)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Размещен на стенде Муниципальное дошкольное образовательное учреждение «Детский сад комбинированного вида №22 «Солнышко»,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микрорайон Олимпийский, дом №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(фото приложить)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(расшифровать)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Проведено общее родительское собрание (фото приложить)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455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 инициативного проекта</w:t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(395-53) 5-66-73</w:t>
            </w:r>
            <w:r/>
          </w:p>
        </w:tc>
      </w:tr>
      <w:tr>
        <w:trPr/>
        <w:tc>
          <w:tcPr>
            <w:tcW w:w="549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54" w:type="dxa"/>
            <w:vMerge w:val="continue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W w:w="4678" w:type="dxa"/>
            <w:vAlign w:val="center"/>
            <w:textDirection w:val="lrTb"/>
            <w:noWrap w:val="false"/>
          </w:tcPr>
          <w:p>
            <w:pPr>
              <w:pStyle w:val="8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</w:t>
            </w:r>
            <w:r>
              <w:rPr>
                <w:rFonts w:asciiTheme="minorHAnsi" w:hAnsiTheme="minorHAnsi" w:eastAsiaTheme="minorHAnsi" w:cstheme="minorBidi"/>
                <w:lang w:val="en-US" w:eastAsia="en-US"/>
              </w:rPr>
              <w:t xml:space="preserve"> </w:t>
            </w:r>
            <w:hyperlink r:id="rId10" w:tooltip="mailto:say-dou22@mail.ru" w:history="1">
              <w:r>
                <w:rPr>
                  <w:rStyle w:val="820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say-dou22@mail.ru</w:t>
              </w:r>
            </w:hyperlink>
            <w:r/>
            <w:r/>
          </w:p>
        </w:tc>
      </w:tr>
    </w:tbl>
    <w:p>
      <w:pPr>
        <w:pStyle w:val="817"/>
        <w:ind w:firstLine="540"/>
        <w:jc w:val="both"/>
      </w:pPr>
      <w:r>
        <w:t xml:space="preserve">--------------------------------</w:t>
      </w:r>
      <w:r/>
    </w:p>
    <w:p>
      <w:pPr>
        <w:pStyle w:val="817"/>
        <w:ind w:firstLine="540"/>
        <w:jc w:val="both"/>
        <w:spacing w:before="220"/>
        <w:rPr>
          <w:rFonts w:ascii="Times New Roman" w:hAnsi="Times New Roman" w:cs="Times New Roman"/>
          <w:sz w:val="20"/>
          <w:szCs w:val="20"/>
        </w:rPr>
      </w:pPr>
      <w:r/>
      <w:bookmarkStart w:id="2" w:name="P373"/>
      <w:r/>
      <w:bookmarkEnd w:id="2"/>
      <w:r>
        <w:rPr>
          <w:rFonts w:ascii="Times New Roman" w:hAnsi="Times New Roman" w:cs="Times New Roman"/>
          <w:sz w:val="20"/>
          <w:szCs w:val="20"/>
        </w:rPr>
        <w:t xml:space="preserve">&lt;1</w:t>
      </w:r>
      <w:r>
        <w:rPr>
          <w:rFonts w:ascii="Times New Roman" w:hAnsi="Times New Roman" w:cs="Times New Roman"/>
          <w:sz w:val="20"/>
          <w:szCs w:val="20"/>
        </w:rPr>
        <w:t xml:space="preserve">&gt; В</w:t>
      </w:r>
      <w:r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  <w:r/>
    </w:p>
    <w:tbl>
      <w:tblPr>
        <w:tblW w:w="1318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77"/>
        <w:gridCol w:w="1338"/>
        <w:gridCol w:w="363"/>
        <w:gridCol w:w="1361"/>
        <w:gridCol w:w="340"/>
        <w:gridCol w:w="3402"/>
        <w:gridCol w:w="3402"/>
      </w:tblGrid>
      <w:tr>
        <w:trPr>
          <w:trHeight w:val="5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3" w:name="_Hlk174542579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Инициаторы инициативного проекта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Остапенко Юлия Анатольевна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Тарасичева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8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8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Лалетина Наталья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bookmarkEnd w:id="3"/>
            <w:r/>
            <w:r/>
          </w:p>
        </w:tc>
      </w:tr>
    </w:tbl>
    <w:p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</w:t>
      </w:r>
      <w:r/>
    </w:p>
    <w:sectPr>
      <w:footnotePr/>
      <w:endnotePr/>
      <w:type w:val="nextPage"/>
      <w:pgSz w:w="11906" w:h="16838" w:orient="portrait"/>
      <w:pgMar w:top="567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18">
    <w:name w:val="Balloon Text"/>
    <w:basedOn w:val="813"/>
    <w:link w:val="8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14"/>
    <w:link w:val="818"/>
    <w:uiPriority w:val="99"/>
    <w:semiHidden/>
    <w:rPr>
      <w:rFonts w:ascii="Tahoma" w:hAnsi="Tahoma" w:cs="Tahoma"/>
      <w:sz w:val="16"/>
      <w:szCs w:val="16"/>
    </w:rPr>
  </w:style>
  <w:style w:type="character" w:styleId="820">
    <w:name w:val="Hyperlink"/>
    <w:basedOn w:val="81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dou22.gosuslugi.ru/nash-detskiy-sad/novosti-i-sobytiya/initsiativnyy-proekt-teatr-bez-antrakta.html" TargetMode="External"/><Relationship Id="rId9" Type="http://schemas.openxmlformats.org/officeDocument/2006/relationships/hyperlink" Target="https://vk.com/wall-217529527_1074" TargetMode="External"/><Relationship Id="rId10" Type="http://schemas.openxmlformats.org/officeDocument/2006/relationships/hyperlink" Target="mailto:say-dou22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revision>11</cp:revision>
  <dcterms:created xsi:type="dcterms:W3CDTF">2025-06-02T05:28:00Z</dcterms:created>
  <dcterms:modified xsi:type="dcterms:W3CDTF">2025-07-09T07:14:43Z</dcterms:modified>
</cp:coreProperties>
</file>