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ED" w:rsidRDefault="00D268ED" w:rsidP="007334A2">
      <w:pPr>
        <w:spacing w:before="375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</w:pPr>
      <w:bookmarkStart w:id="0" w:name="_GoBack"/>
      <w:r w:rsidRPr="00D268ED"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  <w:t>Как провести медицинскую экспертизу профессиональной пригодности работника</w:t>
      </w:r>
    </w:p>
    <w:bookmarkEnd w:id="0"/>
    <w:p w:rsidR="007334A2" w:rsidRPr="00D268ED" w:rsidRDefault="007334A2" w:rsidP="007334A2">
      <w:pPr>
        <w:spacing w:before="375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</w:pP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лгоритм действий от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профпатолога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организовать эксперту профпригодности. Порядок проведения утвержден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Минздрава от 25.03.2025 № 147н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материале: </w:t>
      </w:r>
    </w:p>
    <w:p w:rsidR="00D268ED" w:rsidRPr="007334A2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обязанности в рамках экспертизы для работодателя не прописаны. Но именно работодатель является отправной точкой для запуска процедуры, так как он направляет работников на предварительные и периодические медосмотры на основании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214 ТК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 итогам экспертизы оформляют медицинское заключение, на основании которого работодатель принимает решение о допуске к работе или отстранении.</w:t>
      </w:r>
    </w:p>
    <w:p w:rsidR="00D268ED" w:rsidRPr="007334A2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Какие изменения с сентября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вступил в силу новый порядок проведения экспертизы профессиональной пригодности, который утвердили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Минздрава от 25.03.2025 № 147н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заменил старый порядок, утвержденный приказом Минздрава от 05.05.2016 № 282н. 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экспертизы не поменялся существенно, в основном внесли уточнения в формулировки и усилили требования. </w:t>
      </w:r>
    </w:p>
    <w:p w:rsidR="00D268ED" w:rsidRPr="00D268ED" w:rsidRDefault="00D268ED" w:rsidP="007334A2">
      <w:pPr>
        <w:spacing w:before="375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сделать в связи с изменениями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 изменения самостоятельно и организуйте проведение внеплановых инструктажей работникам, ответственным за организацию медосмотров, так как в рамках данной процедуры могут направить на экспертизу профпригодности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16 Порядка обучения № 2464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 Требований к разработке программы внепланового инструктаж нет, но удобно собрать всю информацию в одном документе, чтобы ничего не упустить во время обучения 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17 Порядка обучения № 2464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внепланового инструктажа непосредственный руководитель делает запись о дате его проведения с подписями инструктируемого и инструктирующего. В документе указывают информацию из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87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Порядка обучения № 2464. Это может быть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другой ЛНА работодателя.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провести внеплановый инструктаж по охране труда, </w:t>
      </w:r>
      <w:hyperlink r:id="rId6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читайте в материале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Когда и где назначают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не направляет сотрудников на экспертизу профпригодности самостоятельно. Процедуру назначает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предварительного или периодического медосмотра, если выявили несоответствия состояния здоровья поручаемой работе 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2 Порядка экспертизы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Задача работодателя – вовремя направлять работников на обязательные медосмотры в соответствии со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214 ТК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Отдельное направление на экспертизу работодатель не выдает, его готовит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проводившая медосмотр.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Экспертизу проводят лицензированные медицинские организации с правом проведения данной процедуры 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3 Порядка экспертизы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кандидату или работнику выдали справку только на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допобследование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ему не нужно дополнительно проходить экспертизу профпригодности, как указано в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14 Порядка № 29н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Ее проводят только тогда, когда выявляют несоответствия состояния здоровья поручаемой работе 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2 Порядка экспертизы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Допобследование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можно пройти бесплатно по полису обязательного медицинского страхования (ОМС). По результатам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допобследования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организует внеочередной медосмотр, чтобы получить заключение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Порядку № 29н. 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Может ли работник отказаться от прохождения экспертизы профессиональной пригодности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может.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вправе отказаться проходить экспертизу профессиональной пригодности в медучреждении после обязательного медосмотра. Однако</w:t>
      </w:r>
      <w:proofErr w:type="gram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обязан отстранить его от работы на основании медицинского заключения о наличии медицинских противопоказаний 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76 ТК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Заключение выдают по результатам обязательного медосмотра. Отстранение работодатель оформляет приказом.</w:t>
      </w: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Кто оплачивает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Четкого обязательства работодателя оплачивать экспертизу профессиональной пригодности законодательство не содержит. Экспертизу можно включить в договор о проведении ПМО, тогда процедуру оплатит работодатель. Также работник может пройти экспертизу в центре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квоте, но их количество ограничено, либо оплатить процедуру самостоятельно.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медосмотра и экспертизы профпригодности за сотрудником сохраняют место работы и средний заработок (</w:t>
      </w:r>
      <w:hyperlink r:id="rId7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185 ТК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Какие документы понадобятся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экспертизы сотрудник предоставляет в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медорганизацию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шесть документов 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6 Порядка экспертизы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9349"/>
      </w:tblGrid>
      <w:tr w:rsidR="007334A2" w:rsidRPr="007334A2" w:rsidTr="00D268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ДОКУМЕНТ, УДОСТОВЕРЯЮЩИЙ ЛИЧНОСТЬ – ПАСПОРТ </w:t>
            </w:r>
          </w:p>
        </w:tc>
      </w:tr>
      <w:tr w:rsidR="007334A2" w:rsidRPr="007334A2" w:rsidTr="00D268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СНИЛС ГРАЖДАНИНА В СИСТЕМЕ ОБЯЗАТЕЛЬНОГО ПЕНСИОННОГО СТРАХОВАНИЯ (ПРИ НАЛИЧИИ)</w:t>
            </w:r>
          </w:p>
        </w:tc>
      </w:tr>
      <w:tr w:rsidR="007334A2" w:rsidRPr="007334A2" w:rsidTr="00D268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НОМЕРЕ СТРАХОВОГО ПОЛИСА ОБЯЗАТЕЛЬНОГО ИЛИ ДОБРОВОЛЬНОГО МЕДИЦИНСКОГО СТРАХОВАНИЯ (ПРИ НАЛИЧИИ)</w:t>
            </w:r>
          </w:p>
        </w:tc>
      </w:tr>
      <w:tr w:rsidR="007334A2" w:rsidRPr="007334A2" w:rsidTr="00D268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НАПРАВЛЕНИЕ МЕДОРГАНИЗАЦИИ, </w:t>
            </w:r>
            <w:proofErr w:type="gramStart"/>
            <w:r w:rsidRPr="00733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КОТОРАЯ</w:t>
            </w:r>
            <w:proofErr w:type="gramEnd"/>
            <w:r w:rsidRPr="00733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ПРОВОДИЛА МЕДОСМОТР</w:t>
            </w:r>
          </w:p>
        </w:tc>
      </w:tr>
      <w:tr w:rsidR="007334A2" w:rsidRPr="007334A2" w:rsidTr="00D268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ЗАКЛЮЧЕНИЕ МЕДОРГАНИЗАЦИИ, </w:t>
            </w:r>
            <w:proofErr w:type="gramStart"/>
            <w:r w:rsidRPr="00733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КОТОРАЯ</w:t>
            </w:r>
            <w:proofErr w:type="gramEnd"/>
            <w:r w:rsidRPr="00733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ПРОВОДИЛА МЕДОСМОТР</w:t>
            </w:r>
          </w:p>
        </w:tc>
      </w:tr>
      <w:tr w:rsidR="007334A2" w:rsidRPr="007334A2" w:rsidTr="00D268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68ED" w:rsidRPr="00D268ED" w:rsidRDefault="00D268ED" w:rsidP="007334A2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АМБУЛАТОРНАЯ МЕДИЦИНСКАЯ КАРТА С ЗАКЛЮЧЕНИЯМИ ВРАЧЕЙ-СПЕЦИАЛИСТОВ, РЕЗУЛЬТАТАМИ МЕДИССЛЕДОВАНИЙ ПО РЕЗУЛЬТАТАМ МЕДОСМОТРА</w:t>
            </w:r>
          </w:p>
        </w:tc>
      </w:tr>
    </w:tbl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Какие действия врачебной комиссии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Медкомиссия играет ключевую роль во время экспертизы профессиональной пригодности работника, так как принимает решение о пригодности или непригодности к выполнению отдельных видов работ. Какие еще задачи выполняет комиссия, читайте ниже. </w:t>
      </w:r>
    </w:p>
    <w:p w:rsidR="00D268ED" w:rsidRPr="00D268ED" w:rsidRDefault="00D268ED" w:rsidP="007334A2">
      <w:pPr>
        <w:spacing w:before="375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Какой срок процедуры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Врачебная комиссия проводит экспертизу в течение 10 рабочих дней с момента обращения сотрудника. В течение этого времени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7 Порядка экспертизы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):  </w:t>
      </w:r>
    </w:p>
    <w:p w:rsidR="00D268ED" w:rsidRPr="00D268ED" w:rsidRDefault="00D268ED" w:rsidP="007334A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документы сотрудника;</w:t>
      </w:r>
    </w:p>
    <w:p w:rsidR="00D268ED" w:rsidRPr="00D268ED" w:rsidRDefault="00D268ED" w:rsidP="007334A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оценку заключения по результатам обязательного медицинского осмотра;</w:t>
      </w:r>
    </w:p>
    <w:p w:rsidR="00D268ED" w:rsidRPr="00D268ED" w:rsidRDefault="00D268ED" w:rsidP="007334A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 дополнительные осмотры врачами-специалистами, медицинские исследования при необходимости;</w:t>
      </w:r>
    </w:p>
    <w:p w:rsidR="00D268ED" w:rsidRPr="00D268ED" w:rsidRDefault="00D268ED" w:rsidP="007334A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профпригодности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врачебная комиссия до принятия решения назначила осмотры врачами-специалистами и медицинские исследования, время проведения которых превышает десятидневный срок, то экспертизу продлевают, но не более чем на 30 рабочих дней 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8 Порядка экспертизы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68ED" w:rsidRPr="00D268ED" w:rsidRDefault="00D268ED" w:rsidP="007334A2">
      <w:pPr>
        <w:spacing w:before="375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Какие решения принимает комиссия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может содержать одну из трех формулировок: </w:t>
      </w:r>
    </w:p>
    <w:p w:rsidR="00D268ED" w:rsidRPr="00D268ED" w:rsidRDefault="00D268ED" w:rsidP="007334A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пригоден</w:t>
      </w:r>
      <w:proofErr w:type="gram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состоянию здоровья к выполнению отдельных видов работ;</w:t>
      </w:r>
    </w:p>
    <w:p w:rsidR="00D268ED" w:rsidRPr="00D268ED" w:rsidRDefault="00D268ED" w:rsidP="007334A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</w:t>
      </w:r>
      <w:proofErr w:type="gram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непригоден</w:t>
      </w:r>
      <w:proofErr w:type="gram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состоянию здоровья к выполнению отдельных видов работ;</w:t>
      </w:r>
    </w:p>
    <w:p w:rsidR="00D268ED" w:rsidRPr="00D268ED" w:rsidRDefault="00D268ED" w:rsidP="007334A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</w:t>
      </w:r>
      <w:proofErr w:type="gram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непригоден</w:t>
      </w:r>
      <w:proofErr w:type="gram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состоянию здоровья к выполнению отдельных видов работ.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работника признают временно непригодным, то комиссия обоснует данное решение, укажет сроки непригодности и даст рекомендации о необходимости провести 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допосмотры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врачами-специалистами,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медисследования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лечение. После выполнения рекомендаций работник снова обращается в медучреждение, куда предоставляет выписку из амбулаторной карты или медкарты пациента, получающего медпомощь в дневном стационаре. В документе должны быть информация о результатах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допосмотров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врачами-специалистами,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медисследований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лечения и заключения врачей-специалистов 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8 Порядка экспертизы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68ED" w:rsidRPr="00D268ED" w:rsidRDefault="00D268ED" w:rsidP="007334A2">
      <w:pPr>
        <w:spacing w:before="375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оформляют результаты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Врачебная комиссия по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решения о профпригодности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оформляет протокол. Далее на основании протокола составляют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медзаключение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пригодности или непригодности к выполнению отдельных видов работ 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10 Порядка экспертизы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 Форма заключения – в </w:t>
      </w:r>
      <w:hyperlink r:id="rId8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 2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к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 Минздрава от 25.03.2025 № 147н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оформления заключения – 3 рабочих дня со дня вынесения одного из решений врачебной комиссией 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11 Порядка экспертизы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электронный документооборот, то заключение оформляют в форме электронного документа и не дублируют на бумажном носителе. Однако</w:t>
      </w:r>
      <w:proofErr w:type="gram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может получить документ в бумажном виде, если составит в простой письменной форме заявление о ведении его медицинской документации на бумаге 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10 Порядка экспертизы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Тогда заключение оформляют в двух экземплярах: один выдают работнику для предъявления работодателю, второй – приобщают к медкарте работника. О получении документа работник расписывается в журнале (</w:t>
      </w:r>
      <w:hyperlink r:id="rId9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12 Порядка экспертизы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Даже если </w:t>
      </w:r>
      <w:proofErr w:type="spellStart"/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медорганизация</w:t>
      </w:r>
      <w:proofErr w:type="spellEnd"/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ведет электронный документооборот, работодателю потребуется бумажная форма заключения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системы, через которую работодатель может увидеть электронные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медзаключения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экспертизы, еще нет. Поэтому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выдаст работнику экземпляр документа на бумаге, чтобы он предоставил его работодателю, или направит работнику электронное заключение, которое он самостоятельно распечатает и передаст работодателю.</w:t>
      </w: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Какие действия работодателя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работодателя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 прохождения работником медицинской экспертизы профессиональной пригодности зависят от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формулировки решения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указала медицинская комиссия. Решение прописано в заключени</w:t>
      </w:r>
      <w:proofErr w:type="gram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 пригодности или непригодности к выполнению отдельных видов работ. Заключение обязан предоставить работник, но только в том случае, если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выдала бумажный экземпляр 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12 Порядка экспертизы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Даже если </w:t>
      </w:r>
      <w:proofErr w:type="spellStart"/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медорганизация</w:t>
      </w:r>
      <w:proofErr w:type="spellEnd"/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ведет электронный документооборот, работодателю потребуется бумажная форма заключения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1 – </w:t>
      </w:r>
      <w:proofErr w:type="gramStart"/>
      <w:r w:rsidRPr="00733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пригоден</w:t>
      </w:r>
      <w:proofErr w:type="gramEnd"/>
      <w:r w:rsidRPr="00733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организует внеочередной медосмотр, чтобы получить заключение без противопоказаний к работе (</w:t>
      </w:r>
      <w:hyperlink r:id="rId10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19 Порядка № 29н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Далее работника допускают к поручаемой ему работе. 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Работодатель не может допустить к работам только по результатам положительного заключения после экспертизы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руках у работодателя два противоположных заключения, то инициируйте внеочередной медосмотр по </w:t>
      </w:r>
      <w:hyperlink r:id="rId11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Порядку 29н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получить заключение без противопоказаний к работе. 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Решение 2 – временно </w:t>
      </w:r>
      <w:proofErr w:type="gramStart"/>
      <w:r w:rsidRPr="00733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непригоден</w:t>
      </w:r>
      <w:proofErr w:type="gramEnd"/>
      <w:r w:rsidRPr="00733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переводит сотрудника на другую работу, не противопоказанную по состоянию здоровья. Для этого требуется письменное согласие работника 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ч. 1 ст. 73 ТК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экспертиза признала сотрудника непригодным к трудовой деятельности на срок до четырех месяцев, но у работодателя нет другой работы, или сотрудника отказывается от перевода, то работодатель отстраняет работника от работы на весь период, указанный в заключении. За этот период зарплату не начисляют, но место работы (должность) сохраняют. 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медицинском заключении указано, что сотрудника надо временно перевести на другую работу на срок более четырех месяцев или на постоянной основе, а такой работы нет или сотрудник отказывается от перевода, его можно уволить по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 8 части 1 статьи 77 ТК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указано в </w:t>
      </w:r>
      <w:hyperlink r:id="rId12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73 ТК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срока непригодности работодатель организует внеочередной медосмотр, чтобы получить заключение без противопоказаний к работе (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п. 19 Порядка № 29н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Далее работника допускают к поручаемой ему работе.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3 – постоянно </w:t>
      </w:r>
      <w:proofErr w:type="gramStart"/>
      <w:r w:rsidRPr="00733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непригоден</w:t>
      </w:r>
      <w:proofErr w:type="gramEnd"/>
      <w:r w:rsidRPr="00733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 переводит сотрудника на другую работу, не противопоказанную по состоянию здоровья. Если подходящей работы нет, или сотрудник отказывается от перевода, то работодатель вправе расторгнуть трудовой договор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 8 части 1 статьи 77 ТК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требования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 73 ТК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68ED" w:rsidRPr="00D268ED" w:rsidRDefault="00D268ED" w:rsidP="007334A2">
      <w:pPr>
        <w:spacing w:before="375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Сколько хранить заключение 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медицинское заключение о пригодности или непригодности к выполнению отдельных видов работ в архиве организации 50 лет. Если документ оформлен до 1 января 2003 года, то срок хранения больше – 75 лет. Это указано в </w:t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413 перечня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 </w:t>
      </w:r>
      <w:hyperlink r:id="rId13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Росархива</w:t>
        </w:r>
        <w:proofErr w:type="spellEnd"/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20.12.2019 № 236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Во время периодического медосмотра у сотрудника в крови обнаружили наркотики. На </w:t>
      </w:r>
      <w:proofErr w:type="gramStart"/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основании</w:t>
      </w:r>
      <w:proofErr w:type="gramEnd"/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какого нормативного акта его можно уволить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периодического медосмотра у сотрудника в крови обнаружили наркотики, то работодатель не вправе его уволить, так как </w:t>
      </w:r>
      <w:hyperlink r:id="rId14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 81 ТК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позволяет расторгнуть трудовой договору только за фактическое появление на рабочем месте в наркотическом опьянении. Наркотические вещества выводятся из организма в течение определенного периода. Поэтому если запрещенные вещества обнаружили во время медосмотра, то это не означает, что работник в рабочее время находился на рабочем месте или на территории работодателя в состоянии опьянения (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5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6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п. 42 постановления Пленума Верховного суда от 17.03.2004 № 2).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 дождаться заключения врачебной комиссии. Если комиссия выявит медицинские противопоказания к работам, указанным в направлении на медосмотр, то работника направят на экспертизу профпригодности (</w:t>
      </w:r>
      <w:hyperlink r:id="rId17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Порядка проведения экспертизы профессиональной пригодности, утвержденного </w:t>
      </w:r>
      <w:hyperlink r:id="rId18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Минздрава от 25.03.2025 № 147н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Медицинское заключение по экспертизе профпригодности сотрудник обязан предъявить работодателю. Если экспертиза покажет, что работник годен к работе, уволить его нельзя. Если временно непригоден – отстраните его от работы на время непригодности 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 </w:t>
      </w:r>
      <w:hyperlink r:id="rId19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абзацу 4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части 1 статьи 76 Трудового кодекса. Если же непригоден – увольняйте как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профнепригодного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"https://ot.action360.ru/group?groupId=1&amp;locale=ru&amp;date=2025-09-01&amp;isStatic=false&amp;anchor=XA00M7E2N4&amp;pubAlias=mcfr-ehs.a360" </w:instrTex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334A2">
        <w:rPr>
          <w:rFonts w:ascii="Times New Roman" w:eastAsia="Times New Roman" w:hAnsi="Times New Roman" w:cs="Times New Roman"/>
          <w:sz w:val="24"/>
          <w:szCs w:val="24"/>
          <w:lang w:eastAsia="ru-RU"/>
        </w:rPr>
        <w:t>. 5 ч. 1 ст. 83 ТК</w:t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Как действовать, если по результатам медосмотра и экспертизы профпригодности в </w:t>
      </w:r>
      <w:proofErr w:type="gramStart"/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разных</w:t>
      </w:r>
      <w:proofErr w:type="gramEnd"/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</w:t>
      </w:r>
      <w:proofErr w:type="spellStart"/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медорганизациях</w:t>
      </w:r>
      <w:proofErr w:type="spellEnd"/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работник получил противоположные </w:t>
      </w:r>
      <w:proofErr w:type="spellStart"/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медзаключения</w:t>
      </w:r>
      <w:proofErr w:type="spellEnd"/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результатам медосмотра и экспертизы профпригодности в разных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медорганизациях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получил противоположные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медзаключения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 работодатель не вправе допустить работника к выполнению должностных обязанностей, так как оба документа имеют равную юридическую силу. Но есть вероятность, что врачебная комиссия, которая проводила медосмотр, изменит свое решение на основании положительного заключения экспертизы. В обратном случае работодатель может направить работника на внеочередной медосмотр. Рекомендую обязательно организовать процедуру, если в период проведения экспертизы работник прошел лечение.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Могут ли на внеплановом медосмотре работника признать непригодным, если по результатам экспертизы профпригодности положительное заключение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могут.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Внеплановый медосмотр и экспертиза профпригодности – это разные процедуры, поэтому комиссии принимать решения независимо друг от друга. Однако</w:t>
      </w:r>
      <w:proofErr w:type="gram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практике заключение по результатам внепланового медосмотра будет таким же, как заключение после экспертизы профпригодности.</w:t>
      </w: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работник столкнулся ситуаций, когда получил два разных </w:t>
      </w:r>
      <w:proofErr w:type="spellStart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медзаключения</w:t>
      </w:r>
      <w:proofErr w:type="spellEnd"/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вправе обратиться в суд для решения вопроса.</w:t>
      </w:r>
    </w:p>
    <w:p w:rsidR="00D268ED" w:rsidRPr="00D268ED" w:rsidRDefault="00D268ED" w:rsidP="007334A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268E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Что грозит работнику, если отказаться от экспертизы</w:t>
      </w:r>
    </w:p>
    <w:p w:rsidR="00D268ED" w:rsidRPr="00D268ED" w:rsidRDefault="00D268ED" w:rsidP="0073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8ED" w:rsidRPr="00D268ED" w:rsidRDefault="00D268ED" w:rsidP="007334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отказался проходить экспертизу профессиональной пригодности, то работодатель будет вынужден отстранить его от работы в соответствии со </w:t>
      </w:r>
      <w:hyperlink r:id="rId20" w:history="1">
        <w:r w:rsidRPr="00733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76 ТК</w:t>
        </w:r>
      </w:hyperlink>
      <w:r w:rsidRPr="00D268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период отстранения работник не получает заработную плату. </w:t>
      </w:r>
    </w:p>
    <w:p w:rsidR="00D268ED" w:rsidRPr="00D268ED" w:rsidRDefault="00D268ED" w:rsidP="007334A2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D268ED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EB21C1" w:rsidRPr="007334A2" w:rsidRDefault="00EB21C1" w:rsidP="007334A2">
      <w:pPr>
        <w:jc w:val="both"/>
      </w:pPr>
    </w:p>
    <w:sectPr w:rsidR="00EB21C1" w:rsidRPr="0073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49FC"/>
    <w:multiLevelType w:val="multilevel"/>
    <w:tmpl w:val="05A2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E7436A"/>
    <w:multiLevelType w:val="multilevel"/>
    <w:tmpl w:val="E3AC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5561EF"/>
    <w:multiLevelType w:val="multilevel"/>
    <w:tmpl w:val="AD46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ED"/>
    <w:rsid w:val="007334A2"/>
    <w:rsid w:val="00A35AD3"/>
    <w:rsid w:val="00D268ED"/>
    <w:rsid w:val="00E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6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68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68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2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68ED"/>
    <w:rPr>
      <w:color w:val="0000FF"/>
      <w:u w:val="single"/>
    </w:rPr>
  </w:style>
  <w:style w:type="character" w:styleId="a5">
    <w:name w:val="Strong"/>
    <w:basedOn w:val="a0"/>
    <w:uiPriority w:val="22"/>
    <w:qFormat/>
    <w:rsid w:val="00D268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6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68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68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2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68ED"/>
    <w:rPr>
      <w:color w:val="0000FF"/>
      <w:u w:val="single"/>
    </w:rPr>
  </w:style>
  <w:style w:type="character" w:styleId="a5">
    <w:name w:val="Strong"/>
    <w:basedOn w:val="a0"/>
    <w:uiPriority w:val="22"/>
    <w:qFormat/>
    <w:rsid w:val="00D268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7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8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2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71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6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896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8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0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9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2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1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2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3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6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4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18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7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9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93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06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06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6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7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1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1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77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44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77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31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3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3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3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70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3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3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4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9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73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0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4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67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27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.action360.ru/group?groupId=132661480&amp;locale=ru&amp;date=2025-09-01&amp;isStatic=false&amp;anchor=XA00MA62N9&amp;pubAlias=mcfr-ehs.a360" TargetMode="External"/><Relationship Id="rId13" Type="http://schemas.openxmlformats.org/officeDocument/2006/relationships/hyperlink" Target="https://ot.action360.ru/group?groupId=64623587&amp;locale=ru&amp;date=2025-09-01&amp;isStatic=false&amp;pubAlias=mcfr-ehs.a360" TargetMode="External"/><Relationship Id="rId18" Type="http://schemas.openxmlformats.org/officeDocument/2006/relationships/hyperlink" Target="https://ot.action360.ru/group?groupId=132661480&amp;locale=ru&amp;date=2025-09-01&amp;isStatic=false&amp;pubAlias=mcfr-ehs.a36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ot.action360.ru/group?groupId=1&amp;locale=ru&amp;date=2025-09-01&amp;isStatic=false&amp;anchor=XA00M582MS&amp;pubAlias=mcfr-ehs.a360" TargetMode="External"/><Relationship Id="rId12" Type="http://schemas.openxmlformats.org/officeDocument/2006/relationships/hyperlink" Target="https://ot.action360.ru/group?groupId=1&amp;locale=ru&amp;date=2025-09-01&amp;isStatic=false&amp;anchor=XA00MC22NJ&amp;pubAlias=mcfr-ehs.a360" TargetMode="External"/><Relationship Id="rId17" Type="http://schemas.openxmlformats.org/officeDocument/2006/relationships/hyperlink" Target="https://ot.action360.ru/group?groupId=132661480&amp;locale=ru&amp;date=2025-09-01&amp;isStatic=false&amp;anchor=XA00M2O2MP&amp;pubAlias=mcfr-ehs.a3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ot.action360.ru/group?groupId=3351&amp;locale=ru&amp;date=2025-09-01&amp;isStatic=false&amp;anchor=ZAP29643EM&amp;pubAlias=mcfr-ehs.a360" TargetMode="External"/><Relationship Id="rId20" Type="http://schemas.openxmlformats.org/officeDocument/2006/relationships/hyperlink" Target="https://ot.action360.ru/group?groupId=1&amp;locale=ru&amp;date=2025-09-01&amp;isStatic=false&amp;anchor=XA00MDO2NS&amp;pubAlias=mcfr-ehs.a3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t.action360.ru/group?groupId=34380674&amp;locale=ru&amp;date=2025-09-01&amp;isStatic=false&amp;pubAlias=mcfr-ehs.a360" TargetMode="External"/><Relationship Id="rId11" Type="http://schemas.openxmlformats.org/officeDocument/2006/relationships/hyperlink" Target="https://ot.action360.ru/group?groupId=77948587&amp;locale=ru&amp;date=2025-09-01&amp;isStatic=false&amp;anchor=XA00MB82NE&amp;pubAlias=mcfr-ehs.a3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t.action360.ru/group?groupId=3351&amp;locale=ru&amp;date=2025-09-01&amp;isStatic=false&amp;anchor=ZAP2DOC3HM&amp;pubAlias=mcfr-ehs.a360" TargetMode="External"/><Relationship Id="rId10" Type="http://schemas.openxmlformats.org/officeDocument/2006/relationships/hyperlink" Target="https://ot.action360.ru/group?groupId=77948587&amp;locale=ru&amp;date=2025-09-01&amp;isStatic=false&amp;anchor=XA00MB82NE&amp;pubAlias=mcfr-ehs.a360" TargetMode="External"/><Relationship Id="rId19" Type="http://schemas.openxmlformats.org/officeDocument/2006/relationships/hyperlink" Target="https://ot.action360.ru/group?groupId=1&amp;locale=ru&amp;date=2025-09-01&amp;isStatic=false&amp;anchor=ZAP27DC3HU&amp;pubAlias=mcfr-ehs.a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t.action360.ru/group?groupId=132661480&amp;locale=ru&amp;date=2025-09-01&amp;isStatic=false&amp;anchor=XA00M9K2N6&amp;pubAlias=mcfr-ehs.a360" TargetMode="External"/><Relationship Id="rId14" Type="http://schemas.openxmlformats.org/officeDocument/2006/relationships/hyperlink" Target="https://ot.action360.ru/group?groupId=1&amp;locale=ru&amp;date=2025-09-01&amp;isStatic=false&amp;anchor=XA00M4Q2MR&amp;pubAlias=mcfr-ehs.a36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2025-11-17T05:56:00Z</dcterms:created>
  <dcterms:modified xsi:type="dcterms:W3CDTF">2025-11-17T06:21:00Z</dcterms:modified>
</cp:coreProperties>
</file>