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C3" w:rsidRDefault="00CF31C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F31C3" w:rsidRDefault="00CF31C3">
      <w:pPr>
        <w:pStyle w:val="ConsPlusNormal"/>
        <w:jc w:val="both"/>
        <w:outlineLvl w:val="0"/>
      </w:pPr>
    </w:p>
    <w:p w:rsidR="00CF31C3" w:rsidRDefault="00CF31C3">
      <w:pPr>
        <w:pStyle w:val="ConsPlusTitle"/>
        <w:jc w:val="center"/>
        <w:outlineLvl w:val="0"/>
      </w:pPr>
      <w:r>
        <w:t>ПРАВИТЕЛЬСТВО ИРКУТСКОЙ ОБЛАСТИ</w:t>
      </w:r>
    </w:p>
    <w:p w:rsidR="00CF31C3" w:rsidRDefault="00CF31C3">
      <w:pPr>
        <w:pStyle w:val="ConsPlusTitle"/>
        <w:jc w:val="center"/>
      </w:pPr>
    </w:p>
    <w:p w:rsidR="00CF31C3" w:rsidRDefault="00CF31C3">
      <w:pPr>
        <w:pStyle w:val="ConsPlusTitle"/>
        <w:jc w:val="center"/>
      </w:pPr>
      <w:r>
        <w:t>ПОСТАНОВЛЕНИЕ</w:t>
      </w:r>
    </w:p>
    <w:p w:rsidR="00CF31C3" w:rsidRDefault="00CF31C3">
      <w:pPr>
        <w:pStyle w:val="ConsPlusTitle"/>
        <w:jc w:val="center"/>
      </w:pPr>
      <w:r>
        <w:t>от 13 ноября 2023 г. N 1005-пп</w:t>
      </w:r>
    </w:p>
    <w:p w:rsidR="00CF31C3" w:rsidRDefault="00CF31C3">
      <w:pPr>
        <w:pStyle w:val="ConsPlusTitle"/>
        <w:jc w:val="center"/>
      </w:pPr>
    </w:p>
    <w:p w:rsidR="00CF31C3" w:rsidRDefault="00CF31C3">
      <w:pPr>
        <w:pStyle w:val="ConsPlusTitle"/>
        <w:jc w:val="center"/>
      </w:pPr>
      <w:r>
        <w:t>ОБ УТВЕРЖДЕНИИ ГОСУДАРСТВЕННОЙ ПРОГРАММЫ ИРКУТСКОЙ ОБЛАСТИ</w:t>
      </w:r>
    </w:p>
    <w:p w:rsidR="00CF31C3" w:rsidRDefault="00CF31C3">
      <w:pPr>
        <w:pStyle w:val="ConsPlusTitle"/>
        <w:jc w:val="center"/>
      </w:pPr>
      <w:r>
        <w:t>"ЭКОНОМИЧЕСКОЕ РАЗВИТИЕ И ИННОВАЦИОННАЯ ЭКОНОМИКА"</w:t>
      </w:r>
    </w:p>
    <w:p w:rsidR="00CF31C3" w:rsidRDefault="00CF31C3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</w:t>
      </w:r>
    </w:p>
    <w:p w:rsidR="00CF31C3" w:rsidRDefault="00CF31C3">
      <w:pPr>
        <w:pStyle w:val="ConsPlusTitle"/>
        <w:jc w:val="center"/>
      </w:pPr>
      <w:r>
        <w:t>ПРАВИТЕЛЬСТВА ИРКУТСКОЙ ОБЛАСТИ</w:t>
      </w:r>
    </w:p>
    <w:p w:rsidR="00CF31C3" w:rsidRDefault="00CF31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1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1C3" w:rsidRDefault="00CF31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1C3" w:rsidRDefault="00CF31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1C3" w:rsidRDefault="00CF31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Иркутской области</w:t>
            </w:r>
            <w:proofErr w:type="gramEnd"/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6">
              <w:r>
                <w:rPr>
                  <w:color w:val="0000FF"/>
                </w:rPr>
                <w:t>N 9-пп</w:t>
              </w:r>
            </w:hyperlink>
            <w:r>
              <w:rPr>
                <w:color w:val="392C69"/>
              </w:rPr>
              <w:t xml:space="preserve">, от 29.02.2024 </w:t>
            </w:r>
            <w:hyperlink r:id="rId7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 xml:space="preserve">, от 25.04.2024 </w:t>
            </w:r>
            <w:hyperlink r:id="rId8">
              <w:r>
                <w:rPr>
                  <w:color w:val="0000FF"/>
                </w:rPr>
                <w:t>N 317-пп</w:t>
              </w:r>
            </w:hyperlink>
            <w:r>
              <w:rPr>
                <w:color w:val="392C69"/>
              </w:rPr>
              <w:t>,</w:t>
            </w:r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9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 xml:space="preserve">, от 24.07.2024 </w:t>
            </w:r>
            <w:hyperlink r:id="rId10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15.08.2024 </w:t>
            </w:r>
            <w:hyperlink r:id="rId11">
              <w:r>
                <w:rPr>
                  <w:color w:val="0000FF"/>
                </w:rPr>
                <w:t>N 636-пп</w:t>
              </w:r>
            </w:hyperlink>
            <w:r>
              <w:rPr>
                <w:color w:val="392C69"/>
              </w:rPr>
              <w:t>,</w:t>
            </w:r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24.09.2024 </w:t>
            </w:r>
            <w:hyperlink r:id="rId12">
              <w:r>
                <w:rPr>
                  <w:color w:val="0000FF"/>
                </w:rPr>
                <w:t>N 739-пп</w:t>
              </w:r>
            </w:hyperlink>
            <w:r>
              <w:rPr>
                <w:color w:val="392C69"/>
              </w:rPr>
              <w:t xml:space="preserve">, от 13.11.2024 </w:t>
            </w:r>
            <w:hyperlink r:id="rId13">
              <w:r>
                <w:rPr>
                  <w:color w:val="0000FF"/>
                </w:rPr>
                <w:t>N 896-пп</w:t>
              </w:r>
            </w:hyperlink>
            <w:r>
              <w:rPr>
                <w:color w:val="392C69"/>
              </w:rPr>
              <w:t xml:space="preserve">, от 13.12.2024 </w:t>
            </w:r>
            <w:hyperlink r:id="rId14">
              <w:r>
                <w:rPr>
                  <w:color w:val="0000FF"/>
                </w:rPr>
                <w:t>N 1019-пп</w:t>
              </w:r>
            </w:hyperlink>
            <w:r>
              <w:rPr>
                <w:color w:val="392C69"/>
              </w:rPr>
              <w:t>,</w:t>
            </w:r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15">
              <w:r>
                <w:rPr>
                  <w:color w:val="0000FF"/>
                </w:rPr>
                <w:t>N 1038-пп</w:t>
              </w:r>
            </w:hyperlink>
            <w:r>
              <w:rPr>
                <w:color w:val="392C69"/>
              </w:rPr>
              <w:t xml:space="preserve">, от 30.01.2025 </w:t>
            </w:r>
            <w:hyperlink r:id="rId16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1C3" w:rsidRDefault="00CF31C3">
            <w:pPr>
              <w:pStyle w:val="ConsPlusNormal"/>
            </w:pPr>
          </w:p>
        </w:tc>
      </w:tr>
    </w:tbl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8">
        <w:r>
          <w:rPr>
            <w:color w:val="0000FF"/>
          </w:rPr>
          <w:t>пунктом 13</w:t>
        </w:r>
      </w:hyperlink>
      <w:r>
        <w:t xml:space="preserve">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31 августа 2023 года N 767-пп, руководствуясь </w:t>
      </w:r>
      <w:hyperlink r:id="rId19">
        <w:r>
          <w:rPr>
            <w:color w:val="0000FF"/>
          </w:rPr>
          <w:t>частью 4 статьи 66</w:t>
        </w:r>
      </w:hyperlink>
      <w:r>
        <w:t xml:space="preserve">, </w:t>
      </w:r>
      <w:hyperlink r:id="rId20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  <w:proofErr w:type="gramEnd"/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 xml:space="preserve">1. Утвердить государственную </w:t>
      </w:r>
      <w:hyperlink w:anchor="P93">
        <w:r>
          <w:rPr>
            <w:color w:val="0000FF"/>
          </w:rPr>
          <w:t>программу</w:t>
        </w:r>
      </w:hyperlink>
      <w:r>
        <w:t xml:space="preserve"> Иркутской области "Экономическое развитие и инновационная экономика" (прилагается).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2. Признать утратившими силу: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1)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12 ноября 2018 года N 828-пп "Об утверждении государственной программы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2)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22 января 2019 года N 23-пп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lastRenderedPageBreak/>
        <w:t xml:space="preserve">3)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5 февраля 2019 года N 72-пп "О внесении изменений в государственную программу Иркутской области "Экономическое развитие и инновационная экономика" на 2019 - 2024 годы и признании </w:t>
      </w:r>
      <w:proofErr w:type="gramStart"/>
      <w:r>
        <w:t>утратившими</w:t>
      </w:r>
      <w:proofErr w:type="gramEnd"/>
      <w:r>
        <w:t xml:space="preserve"> силу отдельных постановлений Правительства Иркутской области";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4)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5 февраля 2019 года N 73-пп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5)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8 мая 2019 года N 377-пп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6)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21 мая 2019 года N 417-пп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7)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25 июня 2019 года N 504-пп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8)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12 августа 2019 года N 613-пп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9)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29 августа 2019 года N 686-пп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10)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6 сентября 2019 года N 740-пп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11)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13 сентября 2019 года N 753-пп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lastRenderedPageBreak/>
        <w:t xml:space="preserve">12)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11 октября 2019 года N 846-пп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13)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21 октября 2019 года N 859-пп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14)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6 ноября 2019 года N 920-пп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15)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17 декабря 2019 года N 1081-пп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16)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17 декабря 2019 года N 1083-пп "О внесении изменений в государственную программу Иркутской области "Экономическое развитие и инновационная экономика" на 2019 - 2024 годы и признании </w:t>
      </w:r>
      <w:proofErr w:type="gramStart"/>
      <w:r>
        <w:t>утратившим</w:t>
      </w:r>
      <w:proofErr w:type="gramEnd"/>
      <w:r>
        <w:t xml:space="preserve"> силу постановления Правительства Иркутской области от 6 ноября 2019 года N 920-пп";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17)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19 февраля 2020 года N 94-пп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18)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февраля 2020 года N 120-пп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19)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26 июня 2020 года N 518-пп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20)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26 июня 2020 года N 519-пп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lastRenderedPageBreak/>
        <w:t xml:space="preserve">21)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17 сентября 2020 года N 764-пп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22)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5 ноября 2020 года N 903-пп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23)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6 ноября 2020 года N 905-пп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24)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декабря 2020 года N 1188-пп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25)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 марта 2021 года N 127-пп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26)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13 мая 2021 года N 327-пп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27)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27 июля 2021 года N 514-пп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28)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27 августа 2021 года N 602-пп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29)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7 октября 2021 года N 728-пп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30)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октября 2021 </w:t>
      </w:r>
      <w:r>
        <w:lastRenderedPageBreak/>
        <w:t>года N 793-пп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31)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9 декабря 2021 года N 948-пп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32)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10 декабря 2021 года N 950-пп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33)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10 декабря 2021 года N 951-пп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34)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30 декабря 2021 года N 1090-пп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35)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25 февраля 2022 года N 122-пп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36)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18 марта 2022 года N 198-пп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37)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25 апреля 2022 года N 322-пп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38)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20 июня 2022 года N 470-пп "О внесении изменений в государственную программу Иркутской области "Экономическое развитие и инновационная экономика" на 2019 - 2024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39)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14 июля 2022 года N 544-пп "О внесении изменений в постановление Правительства </w:t>
      </w:r>
      <w:r>
        <w:lastRenderedPageBreak/>
        <w:t>Иркутской области от 12 ноября 2018 года N 828-пп";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40)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июля 2022 года N 595-пп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41)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 августа 2022 года N 602-пп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42)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октября 2022 года N 835-пп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43)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11 ноября 2022 года N 873-пп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44)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29 декабря 2022 года N 1095-пп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45) </w:t>
      </w:r>
      <w:hyperlink r:id="rId65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28 февраля 2023 года N 143-пп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46)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20 апреля 2023 года N 340-пп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47)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25 апреля 2023 года N 356-пп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48)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26 июня 2023 года N 541-пп "О внесении изменений в государственную программу Иркутской области "Экономическое развитие и инновационная экономика" на 2019 - 2025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lastRenderedPageBreak/>
        <w:t xml:space="preserve">49)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5 июля 2023 года N 564-пп "О внесении изменений в постановление Правительства Иркутской области от 12 ноября 2018 года N 828-пп";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50) </w:t>
      </w:r>
      <w:hyperlink r:id="rId70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21 июля 2023 года N 611-пп "О внесении изменений в государственную программу Иркутской области "Экономическое развитие и инновационная экономика" на 2019 - 2026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51) </w:t>
      </w:r>
      <w:hyperlink r:id="rId7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24 июля 2023 года N 626-пп "О внесении изменений в государственную программу Иркутской области "Экономическое развитие и инновационная экономика" на 2019 - 2026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52)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22 августа 2023 года N 732-пп "О внесении изменений в государственную программу Иркутской области "Экономическое развитие и инновационная экономика" на 2019 - 2026 годы";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53) </w:t>
      </w:r>
      <w:hyperlink r:id="rId73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8 сентября 2023 года N 787-пп "О внесении изменений в государственную программу Иркутской области "Экономическое развитие и инновационная экономика" на 2019 - 2026 годы".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3. Настоящее постановление подлежит официальному опубликованию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</w:t>
      </w:r>
      <w:hyperlink r:id="rId74">
        <w:r>
          <w:rPr>
            <w:color w:val="0000FF"/>
          </w:rPr>
          <w:t>www.pravo.gov.ru</w:t>
        </w:r>
      </w:hyperlink>
      <w:r>
        <w:t>).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4. Настоящее постановление вступает в силу с 1 января 2024 года.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jc w:val="right"/>
      </w:pPr>
      <w:r>
        <w:t>Председатель Правительства</w:t>
      </w:r>
    </w:p>
    <w:p w:rsidR="00CF31C3" w:rsidRDefault="00CF31C3">
      <w:pPr>
        <w:pStyle w:val="ConsPlusNormal"/>
        <w:jc w:val="right"/>
      </w:pPr>
      <w:r>
        <w:t>Иркутской области</w:t>
      </w:r>
    </w:p>
    <w:p w:rsidR="00CF31C3" w:rsidRDefault="00CF31C3">
      <w:pPr>
        <w:pStyle w:val="ConsPlusNormal"/>
        <w:jc w:val="right"/>
      </w:pPr>
      <w:r>
        <w:t>К.Б.ЗАЙЦЕВ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jc w:val="right"/>
        <w:outlineLvl w:val="0"/>
      </w:pPr>
      <w:r>
        <w:t>Утверждена</w:t>
      </w:r>
    </w:p>
    <w:p w:rsidR="00CF31C3" w:rsidRDefault="00CF31C3">
      <w:pPr>
        <w:pStyle w:val="ConsPlusNormal"/>
        <w:jc w:val="right"/>
      </w:pPr>
      <w:r>
        <w:t>постановлением Правительства</w:t>
      </w:r>
    </w:p>
    <w:p w:rsidR="00CF31C3" w:rsidRDefault="00CF31C3">
      <w:pPr>
        <w:pStyle w:val="ConsPlusNormal"/>
        <w:jc w:val="right"/>
      </w:pPr>
      <w:r>
        <w:t>Иркутской области</w:t>
      </w:r>
    </w:p>
    <w:p w:rsidR="00CF31C3" w:rsidRDefault="00CF31C3">
      <w:pPr>
        <w:pStyle w:val="ConsPlusNormal"/>
        <w:jc w:val="right"/>
      </w:pPr>
      <w:r>
        <w:t>от 13 ноября 2023 г. N 1005-пп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</w:pPr>
      <w:bookmarkStart w:id="0" w:name="P93"/>
      <w:bookmarkEnd w:id="0"/>
      <w:r>
        <w:t>ГОСУДАРСТВЕННАЯ ПРОГРАММА</w:t>
      </w:r>
    </w:p>
    <w:p w:rsidR="00CF31C3" w:rsidRDefault="00CF31C3">
      <w:pPr>
        <w:pStyle w:val="ConsPlusTitle"/>
        <w:jc w:val="center"/>
      </w:pPr>
      <w:r>
        <w:t xml:space="preserve">ИРКУТСКОЙ ОБЛАСТИ "ЭКОНОМИЧЕСКОЕ РАЗВИТИЕ И </w:t>
      </w:r>
      <w:proofErr w:type="gramStart"/>
      <w:r>
        <w:lastRenderedPageBreak/>
        <w:t>ИННОВАЦИОННАЯ</w:t>
      </w:r>
      <w:proofErr w:type="gramEnd"/>
    </w:p>
    <w:p w:rsidR="00CF31C3" w:rsidRDefault="00CF31C3">
      <w:pPr>
        <w:pStyle w:val="ConsPlusTitle"/>
        <w:jc w:val="center"/>
      </w:pPr>
      <w:r>
        <w:t>ЭКОНОМИКА"</w:t>
      </w:r>
    </w:p>
    <w:p w:rsidR="00CF31C3" w:rsidRDefault="00CF31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1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1C3" w:rsidRDefault="00CF31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1C3" w:rsidRDefault="00CF31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1C3" w:rsidRDefault="00CF31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Иркутской области</w:t>
            </w:r>
            <w:proofErr w:type="gramEnd"/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75">
              <w:r>
                <w:rPr>
                  <w:color w:val="0000FF"/>
                </w:rPr>
                <w:t>N 9-пп</w:t>
              </w:r>
            </w:hyperlink>
            <w:r>
              <w:rPr>
                <w:color w:val="392C69"/>
              </w:rPr>
              <w:t xml:space="preserve">, от 29.02.2024 </w:t>
            </w:r>
            <w:hyperlink r:id="rId76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 xml:space="preserve">, от 25.04.2024 </w:t>
            </w:r>
            <w:hyperlink r:id="rId77">
              <w:r>
                <w:rPr>
                  <w:color w:val="0000FF"/>
                </w:rPr>
                <w:t>N 317-пп</w:t>
              </w:r>
            </w:hyperlink>
            <w:r>
              <w:rPr>
                <w:color w:val="392C69"/>
              </w:rPr>
              <w:t>,</w:t>
            </w:r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78">
              <w:r>
                <w:rPr>
                  <w:color w:val="0000FF"/>
                </w:rPr>
                <w:t>N 467-пп</w:t>
              </w:r>
            </w:hyperlink>
            <w:r>
              <w:rPr>
                <w:color w:val="392C69"/>
              </w:rPr>
              <w:t xml:space="preserve">, от 24.07.2024 </w:t>
            </w:r>
            <w:hyperlink r:id="rId79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15.08.2024 </w:t>
            </w:r>
            <w:hyperlink r:id="rId80">
              <w:r>
                <w:rPr>
                  <w:color w:val="0000FF"/>
                </w:rPr>
                <w:t>N 636-пп</w:t>
              </w:r>
            </w:hyperlink>
            <w:r>
              <w:rPr>
                <w:color w:val="392C69"/>
              </w:rPr>
              <w:t>,</w:t>
            </w:r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24.09.2024 </w:t>
            </w:r>
            <w:hyperlink r:id="rId81">
              <w:r>
                <w:rPr>
                  <w:color w:val="0000FF"/>
                </w:rPr>
                <w:t>N 739-пп</w:t>
              </w:r>
            </w:hyperlink>
            <w:r>
              <w:rPr>
                <w:color w:val="392C69"/>
              </w:rPr>
              <w:t xml:space="preserve">, от 13.11.2024 </w:t>
            </w:r>
            <w:hyperlink r:id="rId82">
              <w:r>
                <w:rPr>
                  <w:color w:val="0000FF"/>
                </w:rPr>
                <w:t>N 896-пп</w:t>
              </w:r>
            </w:hyperlink>
            <w:r>
              <w:rPr>
                <w:color w:val="392C69"/>
              </w:rPr>
              <w:t xml:space="preserve">, от 13.12.2024 </w:t>
            </w:r>
            <w:hyperlink r:id="rId83">
              <w:r>
                <w:rPr>
                  <w:color w:val="0000FF"/>
                </w:rPr>
                <w:t>N 1019-пп</w:t>
              </w:r>
            </w:hyperlink>
            <w:r>
              <w:rPr>
                <w:color w:val="392C69"/>
              </w:rPr>
              <w:t>,</w:t>
            </w:r>
          </w:p>
          <w:p w:rsidR="00CF31C3" w:rsidRDefault="00CF31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84">
              <w:r>
                <w:rPr>
                  <w:color w:val="0000FF"/>
                </w:rPr>
                <w:t>N 1038-пп</w:t>
              </w:r>
            </w:hyperlink>
            <w:r>
              <w:rPr>
                <w:color w:val="392C69"/>
              </w:rPr>
              <w:t xml:space="preserve">, от 30.01.2025 </w:t>
            </w:r>
            <w:hyperlink r:id="rId85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1C3" w:rsidRDefault="00CF31C3">
            <w:pPr>
              <w:pStyle w:val="ConsPlusNormal"/>
            </w:pPr>
          </w:p>
        </w:tc>
      </w:tr>
    </w:tbl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1"/>
      </w:pPr>
      <w:r>
        <w:t>Раздел I. СТРАТЕГИЧЕСКИЕ ПРИОРИТЕТЫ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2"/>
      </w:pPr>
      <w:r>
        <w:t>Глава 1. ПРИОРИТЕТЫ И ЦЕЛИ ГОСУДАРСТВЕННОЙ ПРОГРАММЫ</w:t>
      </w:r>
    </w:p>
    <w:p w:rsidR="00CF31C3" w:rsidRDefault="00CF31C3">
      <w:pPr>
        <w:pStyle w:val="ConsPlusTitle"/>
        <w:jc w:val="center"/>
      </w:pPr>
      <w:r>
        <w:t xml:space="preserve">ИРКУТСКОЙ ОБЛАСТИ "ЭКОНОМИЧЕСКОЕ РАЗВИТИЕ И </w:t>
      </w:r>
      <w:proofErr w:type="gramStart"/>
      <w:r>
        <w:t>ИННОВАЦИОННАЯ</w:t>
      </w:r>
      <w:proofErr w:type="gramEnd"/>
    </w:p>
    <w:p w:rsidR="00CF31C3" w:rsidRDefault="00CF31C3">
      <w:pPr>
        <w:pStyle w:val="ConsPlusTitle"/>
        <w:jc w:val="center"/>
      </w:pPr>
      <w:r>
        <w:t>ЭКОНОМИКА"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Основными стратегическими документами в сфере реализации государственной программы Иркутской области "Экономическое развитие и инновационная экономика" (далее - государственная программа) являются:</w:t>
      </w:r>
    </w:p>
    <w:p w:rsidR="00CF31C3" w:rsidRDefault="00CF31C3">
      <w:pPr>
        <w:pStyle w:val="ConsPlusNormal"/>
        <w:spacing w:before="280"/>
        <w:ind w:firstLine="540"/>
        <w:jc w:val="both"/>
      </w:pPr>
      <w:hyperlink r:id="rId86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 w:rsidR="00CF31C3" w:rsidRDefault="00CF31C3">
      <w:pPr>
        <w:pStyle w:val="ConsPlusNormal"/>
        <w:spacing w:before="280"/>
        <w:ind w:firstLine="540"/>
        <w:jc w:val="both"/>
      </w:pPr>
      <w:hyperlink r:id="rId87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:rsidR="00CF31C3" w:rsidRDefault="00CF31C3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24.07.2024 N 562-пп)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государственная </w:t>
      </w:r>
      <w:hyperlink r:id="rId89">
        <w:r>
          <w:rPr>
            <w:color w:val="0000FF"/>
          </w:rPr>
          <w:t>программа</w:t>
        </w:r>
      </w:hyperlink>
      <w:r>
        <w:t xml:space="preserve"> Российской Федерации "Экономическое развитие и инновационная экономика", утвержденная постановлением Правительства Российской Федерации от 15 апреля 2014 года N 316;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государственная </w:t>
      </w:r>
      <w:hyperlink r:id="rId90">
        <w:r>
          <w:rPr>
            <w:color w:val="0000FF"/>
          </w:rPr>
          <w:t>программа</w:t>
        </w:r>
      </w:hyperlink>
      <w:r>
        <w:t xml:space="preserve"> Российской Федерации "Развитие промышленности и повышение ее конкурентоспособности", утвержденная постановлением Правительства Российской Федерации от 15 апреля 2014 года N 328;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государственная </w:t>
      </w:r>
      <w:hyperlink r:id="rId91">
        <w:r>
          <w:rPr>
            <w:color w:val="0000FF"/>
          </w:rPr>
          <w:t>программа</w:t>
        </w:r>
      </w:hyperlink>
      <w:r>
        <w:t xml:space="preserve"> Российской Федерации "Научно-технологическое развитие Российской Федерации", утвержденная постановлением Правительства Российской Федерации от 29 марта 2019 года N 377;</w:t>
      </w:r>
    </w:p>
    <w:p w:rsidR="00CF31C3" w:rsidRDefault="00CF31C3">
      <w:pPr>
        <w:pStyle w:val="ConsPlusNormal"/>
        <w:spacing w:before="280"/>
        <w:ind w:firstLine="540"/>
        <w:jc w:val="both"/>
      </w:pPr>
      <w:hyperlink r:id="rId92">
        <w:r>
          <w:rPr>
            <w:color w:val="0000FF"/>
          </w:rPr>
          <w:t>Закон</w:t>
        </w:r>
      </w:hyperlink>
      <w:r>
        <w:t xml:space="preserve"> Иркутской области от 10 января 2022 года N 15-ОЗ "Об утверждении стратегии социально-экономического развития Иркутской области на период до 2036 года" (далее - Стратегия).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Реализация мероприятий (результатов) структурных элементов государственной программы влияет на достижение целевых показателей и задач, характеризующих достижение национальных целей развития Российской Федерации на период до 2030 года и на перспективу до 2036 года (далее - национальные цели развития Российской Федерации) "Устойчивая и динамичная экономика" и "Технологическое лидерство".</w:t>
      </w:r>
    </w:p>
    <w:p w:rsidR="00CF31C3" w:rsidRDefault="00CF31C3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24.07.2024 N 562-пп)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Абзацы девятый - двенадцатый утратили силу. - </w:t>
      </w:r>
      <w:hyperlink r:id="rId94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24.07.2024 N 562-пп.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Вклад в достижение национальных целей развития Российской Федерации </w:t>
      </w:r>
      <w:proofErr w:type="gramStart"/>
      <w:r>
        <w:t>обеспечивается</w:t>
      </w:r>
      <w:proofErr w:type="gramEnd"/>
      <w:r>
        <w:t xml:space="preserve"> в том числе путем достижения показателей государственной программы:</w:t>
      </w:r>
    </w:p>
    <w:p w:rsidR="00CF31C3" w:rsidRDefault="00CF31C3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24.07.2024 N 562-пп)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</w:r>
    </w:p>
    <w:p w:rsidR="00CF31C3" w:rsidRDefault="00CF31C3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24.07.2024 N 562-пп)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численность занятых в сфере малого и среднего предпринимательства, включая индивидуальных предпринимателей и самозанятых;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абзацы шестнадцатый - семнадцатый утратили силу. - </w:t>
      </w:r>
      <w:hyperlink r:id="rId97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24.07.2024 N 562-пп.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Государственная программа является инструментом достижения следующих тактических целей приоритета "Экономический рост и эффективное управление" Стратегии: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повышение инвестиционной привлекательности Иркутской области (далее - область);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развитие сферы малого и среднего предпринимательства как одного из факторов инновационного развития, улучшения отраслевой структуры экономики, увеличения занятости населения и снижения безработицы;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развитие внешнеэкономических и межрегиональных связей области;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lastRenderedPageBreak/>
        <w:t>обеспечение государственной поддержки инновационной деятельности и управление научной и научно-технической деятельностью.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соответствии с приоритетными направлениями социально-экономического развития области определены цели государственной программы: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повышение инвестиционной привлекательности региона, характеризующейся ростом физического объема инвестиций в основной капитал по отношению к 2020 году в объеме 170,0% к 2030 году;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увеличение численности занятых в сфере малого и среднего предпринимательства, включая индивидуальных предпринимателей и самозанятых, до 383,6 тыс. чел. к 2030 году путем создания благоприятного предпринимательского климата и условий для ведения бизнеса;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развитие внешнеэкономических и межрегиональных связей путем формирования положительного имиджа региона и создания </w:t>
      </w:r>
      <w:proofErr w:type="gramStart"/>
      <w:r>
        <w:t>условий</w:t>
      </w:r>
      <w:proofErr w:type="gramEnd"/>
      <w:r>
        <w:t xml:space="preserve"> в том числе для устойчивого роста к 2030 году экспорта несырьевых неэнергетических товаров не менее 70% по сравнению с показателем 2020 года;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развитие промышленных предприятий путем укрепления действующих институтов поддержки и развития промышленности с целью поддержания индекса промышленного производства на уровне не ниже 100,6% ежегодно до 2030 года.</w:t>
      </w:r>
    </w:p>
    <w:p w:rsidR="00CF31C3" w:rsidRDefault="00CF31C3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 от 30.01.2025 N 74-пп)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2"/>
      </w:pPr>
      <w:r>
        <w:t>Глава 2. АНАЛИЗ ТЕКУЩЕГО СОСТОЯНИЯ СФЕРЫ РЕАЛИЗАЦИИ</w:t>
      </w:r>
    </w:p>
    <w:p w:rsidR="00CF31C3" w:rsidRDefault="00CF31C3">
      <w:pPr>
        <w:pStyle w:val="ConsPlusTitle"/>
        <w:jc w:val="center"/>
      </w:pPr>
      <w:r>
        <w:t>ГОСУДАРСТВЕННОЙ ПРОГРАММЫ, ОБОСНОВАНИЕ ЦЕЛЕСООБРАЗНОСТИ</w:t>
      </w:r>
    </w:p>
    <w:p w:rsidR="00CF31C3" w:rsidRDefault="00CF31C3">
      <w:pPr>
        <w:pStyle w:val="ConsPlusTitle"/>
        <w:jc w:val="center"/>
      </w:pPr>
      <w:r>
        <w:t>РАЗРАБОТКИ ГОСУДАРСТВЕННОЙ ПРОГРАММЫ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Область относится к экономически развитым регионам Сибирского федерального округа Российской Федерации (далее - СФО) и страны в целом, подтверждением тому являются лидирующие позиции среди регионов СФО по важнейшим макроэкономическим показателям: валовому региональному продукту, прибыльности предприятий, налоговой отдаче, инвестициям в основной капитал.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По предварительной оценке, объем валового регионального продукта (далее - ВРП) - одного из важнейших интегральных показателей, характеризующих уровень развития области, в 2022 году составил 2 125,2 млрд. рублей (индекс физического объема - 101,0%). В 2021 году аналогичные показатели достигли уровня 1 924,4 млрд. рублей (индекс </w:t>
      </w:r>
      <w:r>
        <w:lastRenderedPageBreak/>
        <w:t>физического объема - 104,6%). Наибольшую долю в структуре ВРП области традиционно занимают следующие виды экономической деятельности: "добыча полезных ископаемых" (32,9%), "обрабатывающие производства" (10,5%), "транспортировка и хранение" (8,6%).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Область является одним из богатейших регионов России по природно-ресурсному потенциалу - здесь сосредоточены крупнейшие запасы топливно-энергетических, водных, лесных и минерально-сырьевых ресурсов, чем обеспечено преобладание в структуре региональной экономики крупных промышленных предприятий.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Выгодно и географическое расположение области. Область находится почти в центре материка, на пересечении основных транспортных магистралей, соединяющих Европу с дальневосточной частью России и странами Азиатско-Тихоокеанского региона.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Благоприятные условия для подъема экономики области </w:t>
      </w:r>
      <w:proofErr w:type="gramStart"/>
      <w:r>
        <w:t>создает</w:t>
      </w:r>
      <w:proofErr w:type="gramEnd"/>
      <w:r>
        <w:t xml:space="preserve"> в том числе развитая энергосистема области, включающая в себя 15 действующих тепловых электростанций (ТЭЦ) и четыре гидроэлектростанции (ГЭС).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Кроме того, на территории области реализуется комплекс мер, направленных на привлечение инвестиций в экономику области. Созданы особая экономическая зона туристско-рекреационного типа "Ворота Байкала" и четыре территории опережающего социально-экономического развития (ТОСЭР) - "Усолье-Сибирское", "Саянск", "Черемхово" и "Тулун".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Научную и инновационную инфраструктуру области составляют 16 институтов Сибирского отделения Российской академии наук (РАН) и более чем 20 прикладных научно-исследовательских и проектных институтов, создавая возможности для раскрытия интеллектуального потенциала научных работников и предпосылки к расширению и укреплению высокотехнологичных и наукоемких отраслей.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Таким образом, область обладает высоким промышленным, природно-ресурсным и интеллектуальным потенциалом, что создает ряд конкурентных преимуще</w:t>
      </w:r>
      <w:proofErr w:type="gramStart"/>
      <w:r>
        <w:t>ств дл</w:t>
      </w:r>
      <w:proofErr w:type="gramEnd"/>
      <w:r>
        <w:t>я развития экономики области: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относительно низкая стоимость энергоресурсов;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крупные запасы доступных полезных ископаемых. Область является одним из самых богатых минеральными ресурсами регионов России. В балансе полезных ископаемых на территории области учтен 71 вид минерального сырья;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высокий промышленный потенциал. Наличие большого комплекса производственных мощностей на территории области в секторах </w:t>
      </w:r>
      <w:r>
        <w:lastRenderedPageBreak/>
        <w:t>машиностроения, металлургии, химии и нефтехимии, горнодобывающей промышленности, агропромышленного комплекса и других секторов экономики;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уникальные рекреационные, лесные и водные ресурсы;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транспортно-логистический потенциал (БАМ, Транссиб, автомобильные трассы федерального значения, международные аэропорты в Иркутске и Братске);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развитый научно-образовательный комплекс, концентрация квалифицированного трудового потенциала.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области уделяется особое внимание формированию взаимовыгодных и прочных межрегиональных и международных отношений, укрепление таких связей ориентировано на качественный рост экономики и повышение уровня благополучия населения области. В настоящее время в области реализуются более 30 действующих соглашений о торгово-экономическом, научно-техническом и культурном сотрудничестве на межрегиональном уровне и шесть соглашений об осуществлении международных и внешнеэкономических связей. С 1992 года область входит в состав Межрегиональной ассоциации экономического взаимодействия субъектов Российской Федерации "Сибирское Соглашение", а в 2010 году область присоединилась к Ассоциации инновационных регионов России.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3"/>
      </w:pPr>
      <w:r>
        <w:t>Инвестиционный потенциал области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В области ежегодно растет объем инвестиций в основной капитал, который по оценке 2023 года составит 922,2 млрд. рублей (104,6% по отношению к 2022 году), за 2022 год составил 834,0 млрд. рублей (138% по отношению к 2021 году). По данному показателю область занимает 7 место по России и 1 место среди регионов СФО. В 2021 году данный показатель составлял 516,3 млрд. рублей, в 2020 - 380,0 млрд. рублей.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области реализуется свыше 180 инвестиционных проектов с объемом инвестиций порядка 3 трлн. рублей. Реализация этих проектов в перспективе позволит создать 40 тыс. новых высокопроизводительных рабочих мест и увеличить налоги в бюджеты всех уровней на 2 трлн. рублей.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Среди реализуемых масштабных проектов следует выделить строительство газохимического комплекса в городе Усть-Куте, алюминиевого завода в Тайшетском районе, создание картонного производства в городе Усть-Илимске, реализацию проекта по освоению крупнейшего в России месторождения золота "Сухой Лог" и газохимического комплекса на базе Ковыктинского месторождения.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lastRenderedPageBreak/>
        <w:t>Создание благоприятных условий для привлечения инвестиций и позиционирование положительного имиджа области оказывает прямое влияние на повышение инвестиционной привлекательности области.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области созданы дополнительные инструменты для реализации инвестиционной политики: сформирована нормативная правовая база для реализации инвестиционных проектов на принципах государственно-частного партнерства и заключения соглашений о защите и поощрении капиталовложений, осуществляется внедрение элементов Регионального инвестиционного стандарта, создана обширная сеть институтов развития инвестиционной деятельности.</w:t>
      </w:r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t>К проблемам, влияющим на формирование инвестиционной политики можно отнести: санкции недружественных стран в отношении Российской Федерации, колебания мировой рыночной конъюнктуры, курсов валют, ставок по банковским кредитам, цен на энергоносители, неуверенность в успешности преодоления последствий глобального финансового кризиса, затянувшуюся реструктуризацию старых промышленных предприятий, низкую степень доступности рынков сырья, передовых технологий, уровень цен на них, неопределенность в процессе организации сбыта продукции, преодоление</w:t>
      </w:r>
      <w:proofErr w:type="gramEnd"/>
      <w:r>
        <w:t xml:space="preserve"> последствий распространения коронавирусной инфекции (COVID-19), высокую степень непредсказуемости в сфере вложения инвестиций, неразвитость инфраструктуры и др.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Среди основных приоритетных направлений развития инвестиционной деятельности следует выделить: развитие системы государственной поддержки субъектов инвестиционной деятельности; создание благоприятной административной среды; совершенствование и активизацию взаимодействия с институтами развития инвестиционной деятельности в целях продвижения инвестиционных проектов области; развитие элементов инвестиционной инфраструктуры; развитие системы государственно-частного партнерства и защиты и поощрения капиталовложений; формирование благоприятного инвестиционного имиджа области, в том числе за счет улучшения позиции области в Национальном рейтинге состояния инвестиционного климата в субъектах Российской Федерации.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3"/>
      </w:pPr>
      <w:r>
        <w:t>Поддержка и развитие малого и среднего предпринимательства</w:t>
      </w:r>
    </w:p>
    <w:p w:rsidR="00CF31C3" w:rsidRDefault="00CF31C3">
      <w:pPr>
        <w:pStyle w:val="ConsPlusTitle"/>
        <w:jc w:val="center"/>
      </w:pPr>
      <w:r>
        <w:t>в области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 xml:space="preserve">Предпринимательская деятельность является основным элементом современной рыночной экономики и способствует образованию регулируемого, социально ориентированного рыночного механизма, поддержанию здоровой конкурентной среды, обеспечению предпосылок для быстрого и устойчивого экономического роста. Предпринимательство в значительной степени решает проблему безработицы, а также способствует </w:t>
      </w:r>
      <w:r>
        <w:lastRenderedPageBreak/>
        <w:t>появлению среднего класса и класса мелких собственников, заинтересованных в стабилизации экономики.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По числу субъектов малого и среднего предпринимательства область занимает 16-е место среди регионов Российской Федерации и 3-е место среди регионов в СФО. В 2022 году на территории области было зарегистрировано 85 300 субъектов МСП, 31 542 юридических лица и 53 758 индивидуальных предпринимателей, по сравнению с 2021 годом отмечается незначительное сокращение на 1,05%.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Почти четверть работающего населения и общего объема оборота продукции и услуг, производимых и реализуемых предприятиями Приангарья, приходится на сектор малого и среднего бизнеса.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Численность занятых в сфере малого и среднего предпринимательства, включая индивидуальных предпринимателей и самозанятых граждан, в 2022 году составила 341,4 тыс. человек, по сравнению с 2021 годом увеличение на 15,3% (на уровне Российской Федерации и СФО).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Оборот предприятий малого и среднего бизнеса в 2022 году составил 829,0 млрд. рублей, по сравнению с 2021 годом наблюдается снижение на 5,4%, объем выручки индивидуальных предпринимателей за 2022 год достиг 350,7 млн. рублей, по сравнению с 2021 годом увеличен </w:t>
      </w:r>
      <w:proofErr w:type="gramStart"/>
      <w:r>
        <w:t>на</w:t>
      </w:r>
      <w:proofErr w:type="gramEnd"/>
      <w:r>
        <w:t xml:space="preserve"> 16,7%.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На сегодняшний день для малых и средних предприятий доступны финансовые и нефинансовые меры, </w:t>
      </w:r>
      <w:proofErr w:type="gramStart"/>
      <w:r>
        <w:t>реализуемые</w:t>
      </w:r>
      <w:proofErr w:type="gramEnd"/>
      <w:r>
        <w:t xml:space="preserve"> в том числе региональными организациями, образующими инфраструктуру поддержки предпринимательства:</w:t>
      </w:r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t>Фонд поддержки и развития предпринимательства Иркутской области Центр "Мой бизнес" (далее - центр), который обеспечивает комплексную поддержку бизнеса в виде профессиональных услуг для бизнеса, помощи в разработке бизнес-планов, поиске инвесторов и финансировании, обеспечивает доступ субъектов МСП к кредитным и иным финансовым ресурсам посредством предоставления поручительства по обязательствам, основанным на кредитных договорах, договорах займа, лизинга или банковской гарантии.</w:t>
      </w:r>
      <w:proofErr w:type="gramEnd"/>
      <w:r>
        <w:t xml:space="preserve"> Центр объединяет на одной площадке основные институты развития и оказывает по принципу "одного окна" комплекс необходимых услуг для начала и ведения предпринимательской деятельности.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Микрокредитная компания "Фонд микрокредитования Иркутской области" предоставляет микрозаймы с пониженными процентными ставками для разных категорий предпринимателей.</w:t>
      </w:r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t xml:space="preserve">Основные негативные факторы, влияющие на развитие малого и </w:t>
      </w:r>
      <w:r>
        <w:lastRenderedPageBreak/>
        <w:t>среднего предпринимательства в области, - это недостаток собственных финансовых ресурсов для развития предпринимательской деятельности, дефицит квалифицированных кадров и недостаточный уровень их профессиональной подготовки, отток трудоспособного населения из области, снижение доходов населения, сдерживающее покупательскую способность (платежеспособный спрос) и, как следствие, отражающееся на предпринимательской активности, кризисные явления в экономике, изменения на внутренних и внешних рынках</w:t>
      </w:r>
      <w:proofErr w:type="gramEnd"/>
      <w:r>
        <w:t>, которые приводят к опасениям населения в отношении ведения индивидуального предпринимательства и к риску сокращения действующих хозяйствующих субъектов, низкая конкурентоспособность субъектов предпринимательства в приоритетных отраслях экономики.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Основные направления развития в сфере малого и среднего предпринимательства: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увеличение вклада бизнеса в валовой внутренний продукт области с учетом развития экспорта малого и среднего предпринимательства;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наращивание численности </w:t>
      </w:r>
      <w:proofErr w:type="gramStart"/>
      <w:r>
        <w:t>занятых</w:t>
      </w:r>
      <w:proofErr w:type="gramEnd"/>
      <w:r>
        <w:t xml:space="preserve"> в сфере предпринимательства;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стимулирование развития малого и среднего предпринимательства приоритетных отраслей экономики: обрабатывающей промышленности, </w:t>
      </w:r>
      <w:proofErr w:type="gramStart"/>
      <w:r>
        <w:t>ИТ</w:t>
      </w:r>
      <w:proofErr w:type="gramEnd"/>
      <w:r>
        <w:t>, туризма, технологических компаний.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3"/>
      </w:pPr>
      <w:r>
        <w:t>Развитие внешнеэкономических и межрегиональных связей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 xml:space="preserve">Область расположена на пересечении транспортных и торговых путей из Европы и Азии. Область выступает </w:t>
      </w:r>
      <w:proofErr w:type="gramStart"/>
      <w:r>
        <w:t>в качестве одной из ключевых для России территорий с точки зрения сотрудничества со странами</w:t>
      </w:r>
      <w:proofErr w:type="gramEnd"/>
      <w:r>
        <w:t xml:space="preserve"> Азиатско-Тихоокеанского региона: Китайской Народной Республикой, Республикой Корея, Японией и Монголией.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Внешнеторговый оборот области в 2021 году составил 10,5 млрд. долларов США и увеличился по сравнению с 2020 годом на 44,6%. Доля экспорта в общей структуре составляет 79,8%, импорта - 20,2%.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Торговля со странами дальнего зарубежья обеспечивает 93,1% стоимостного объема товарооборота, со странами СНГ - 6,9% (в 2020 году - 91,5% и 8,5% соответственно).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Экспорт продукции области в 2021 году составил 146,5% к уровню 2020 года.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Основу экспорта области формируют топливно-энергетические товары - 43,8%, металлы и изделия из них - 26,7%, продукция из древесины - 26,5%, </w:t>
      </w:r>
      <w:r>
        <w:lastRenderedPageBreak/>
        <w:t>продукция химической промышленности - 1,5%, машины и оборудование - 0,7%, продовольственные товары и сырье - 0,4%, товары народного потребления - 0,3%.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Наибольший рост объема экспортных поставок в 2022 году произошел по группе топливно-энергетических товаров, в основном за счет увеличения поставок нефти сырой, угля каменного, в том числе битуминозного, а также нефтепродуктов. Кроме того, увеличение произошло по группе товаров химической промышленности. Увеличились поставки полимера этилена, удобрений минеральных, неорганической химии, поливинилхлорида.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Ведущими партнерами области в экспортной торговле остаются государства Азиатско-Тихоокеанского региона (Китайская Народная Республика, Республика Корея, Япония, Монголия, Индия). Существенная доля экспортных операций с указанными странами приходится на Китай - более половины объема экспортируемой областью продукции в зарубежные страны.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Импортные поставки в область в 2019 - 2021 годах осуществлялись из стран дальнего зарубежья и СНГ. За последние 3 года объем импортных поставок из стран дальнего зарубежья увеличился с 68,7% до 75,5%, а из стран СНГ сократился с 31,3% до 24,5%.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Импорт зарубежных товаров в область в 2021 году составляет 137,4% к уровню 2020 года.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Товарная номенклатура импорта представлена такими товарными группами, как продукты химической промышленности - 58,0%, машины и оборудование - 29,9%, металлы и изделия из них - 3,5%, нефтехимические продукты - 3,2%, продукты питания - 2,5%, товары народного потребления - 0,7%.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Наибольшее сокращение в 2022 году произошло в импорте товаров машиностроительного комплекса, а также металлов и изделий из них. Кроме того, сократились поставки цианидов, оксидов натрия, а также кокса, битума нефтяного. Основной рост поставок в 2022 году произошел по прочим товарам, нефтехимическим товарам, сырью для алюминиевой продукции, а также фармацевтики. Кроме того, увеличились импортные поставки продуктов питания, а также одежды, обуви.</w:t>
      </w:r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t xml:space="preserve">В условиях нестабильности, вызванной как "ковидными" и "постковидными" ограничениями, так и беспрецедентным санкционным давлением на экономические процессы в Российской Федерации, во многом в части торгово-экономического сотрудничества с зарубежными странами, Правительство Иркутской области использует превентивные и институциональные меры поддержки, в том числе направленные на </w:t>
      </w:r>
      <w:r>
        <w:lastRenderedPageBreak/>
        <w:t>стабилизацию и развитие сектора несырьевого неэнергетического экспорта (далее - ННЭ).</w:t>
      </w:r>
      <w:proofErr w:type="gramEnd"/>
      <w:r>
        <w:t xml:space="preserve"> Среди предпринимаемых мер: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внедрение инструментов Регионального экспортного стандарта 2.0 (далее - Стандарт), которые направлены на развитие экспорта, в том числе ННЭ, в субъектах Российской Федерации (по итогам 2021 и 2022 годов в регионе внедрены все инструменты Стандарта);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разработка программы развития экспорта региона до 2030 года;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создание рабочей группы "Экспортный десант" как инициативного инструмента по вовлечению новых компаний области в экспортную деятельность, оказанию предприятиям региона консультационно-методической поддержки по вопросам развития производственной, экспортной и инвестиционной деятельности;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создание Экспортного совета при Губернаторе Иркутской области, а также рабочей группы по отраслевым направлениям с внедрением практики проведения выездных заседаний на базе областных предприятий;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разработка министерством сельского хозяйства Иркутской области совместно с Союзом "Торгово-промышленная палата Восточной Сибири (Иркутская область)" международного бренда (товарного знака) "BaikalNatural", запатентованного в Российской Федерации, Монголии, КНР;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реализация совместно с Минпромторгом России проекта "Экспортный акселератор" и работа по продвижению средних экспортно ориентированных субъектов предпринимательской деятельности на зарубежные рынки.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3"/>
      </w:pPr>
      <w:r>
        <w:t>Развитие промышленности и инновационной сферы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Область как крупный промышленный центр является "драйвером" развития Дальнего Востока и Байкальского региона, выполняя транзитную и связующую функции для западных и восточных частей страны. В области наблюдается промышленный рост - по итогам 2022 года индекс промышленного производства (в процентах к предыдущему году) составил 102,5%, 2021 года - 102,8%, 2020 года - 102,2%.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Сегодня область лидирует в лесопромышленном комплексе России, гидроэнергетике, производстве алюминия, полимеров, нефтепродуктов, добыче золота, обладает значительными запасами минеральных, гидроэнергетических и лесных ресурсов. С 2012 года благодаря эффективным мерам федеральной поддержки в области сформировалась новая отрасль промышленности - нефтедобыча, активно развивается фармацевтическая отрасль, ориентированная не только на выпуск готовых лекарств, но и на производство активных фармацевтических субстанций. В </w:t>
      </w:r>
      <w:r>
        <w:lastRenderedPageBreak/>
        <w:t>перспективе планируется продолжить развитие еще одной отрасли промышленности - газохимии.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На территории области в промышленном производстве осуществляют деятельность более 3,7 тысячи организаций, на которых работает более 170 тыс. человек. По итогам 2022 года объем отгруженной промышленной продукции, выполненных работ, услуг составил 1 861,6 млрд. рублей (112,9% к 2021 году).</w:t>
      </w:r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t>Основными сдерживающими факторами развития промышленности области являются: ограниченная пропускная способность Восточного полигона РЖД; диспропорция в обеспечении электроэнергией, отсутствие электроснабжения в удаленных северных районах; изменение рынков сбыта, логистических цепочек, доступности технологий, систем международных расчетов в связи с введенными санкциями; высокая степень износа основных фондов промышленности; низкий уровень загруженности промышленных предприятий; дефицит кадров.</w:t>
      </w:r>
      <w:proofErr w:type="gramEnd"/>
    </w:p>
    <w:p w:rsidR="00CF31C3" w:rsidRDefault="00CF31C3">
      <w:pPr>
        <w:pStyle w:val="ConsPlusNormal"/>
        <w:spacing w:before="280"/>
        <w:ind w:firstLine="540"/>
        <w:jc w:val="both"/>
      </w:pPr>
      <w:r>
        <w:t>Учитывая значительный промышленный потенциал области, целью региональной промышленной политики является формирование конкурентоспособной промышленности, обеспечивающей переход экономики от экспортно-сырьевого к инновационному типу развития.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Задачами промышленной политики являются: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проведение технической модернизации (реконструкции) имеющихся и строительство новых производственных мощностей в перспективных секторах промышленности области с акцентом на производство высокотехнологичной и конкурентоспособной продукции и получение максимальной добавленной стоимости;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внедрение ресурс</w:t>
      </w:r>
      <w:proofErr w:type="gramStart"/>
      <w:r>
        <w:t>о-</w:t>
      </w:r>
      <w:proofErr w:type="gramEnd"/>
      <w:r>
        <w:t xml:space="preserve"> и энергоэффективных производств с использованием наилучших доступных технологий;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осуществление системного перехода промышленности в режим инновационного развития на основе передовых технологических укладов;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совершенствование кадровой политики, направленной на закрепление специалистов на территориях, подготовку, повышение квалификации, целевое обучение профессиональных кадров и обеспечение ими предприятий индустриальных отраслей промышленности, внедрение профессиональных стандартов и дуального обучения.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области сосредоточена развитая научная и инновационная инфраструктура. В сфере науки работают 11 академиков и восемь членов-корреспондентов РАН, около 1 200 докторов и кандидатов наук.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lastRenderedPageBreak/>
        <w:t xml:space="preserve">Для развития научной, научно-технической и инновационной деятельности создана необходимая правовая база - с 2004 года действует </w:t>
      </w:r>
      <w:hyperlink r:id="rId99">
        <w:r>
          <w:rPr>
            <w:color w:val="0000FF"/>
          </w:rPr>
          <w:t>Закон</w:t>
        </w:r>
      </w:hyperlink>
      <w:r>
        <w:t xml:space="preserve"> Иркутской области от 5 мая 2004 года N 21-оз "Об областной государственной поддержке научной, научно-технической и инновационной деятельности". В целях повышения качества взаимодействия с научно-образовательным комплексом, расположенным на территории области, с 2015 года работает Координационный научный совет при Губернаторе Иркутской области, в 2020 году создан Совет молодых ученых и специалистов при Губернаторе Иркутской области.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Для адресной поддержки направлений, представляющих интерес для области, область ежегодно на условиях паритета финансирует проекты фундаментальных исследований совместно с федеральным государственным бюджетным учреждением "Российский научный фонд", ежегодно формируется государственный заказ на выполнение научно-исследовательских, опытно-конструкторских и технологических работ.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целях координации деятельности коммерческих, научных и образовательных организаций, государственных органов при реализации научно-исследовательских проектов, борьбы с существующими угрозами путем реализации инновационных проектов, вовлечения бизнеса в образовательный процесс, обеспечения экономики квалифицированными кадрами создан межрегиональный научно-образовательный центр мирового уровня "Байкал" (далее - НОЦ "Байкал").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НОЦ "Байкал" включен в перечень победителей 2021 года по итогам конкурсного отбора Минобрнауки России и с 2022 года получает федеральную государственную поддержку. На базе НОЦ "Байкал" реализуются восемь технологических проектов для разработки не менее 34 конкурентоспособных технологий и высокотехнологичной продукции в целях внедрения в реальный сектор экономики. Для коммерциализации результатов интеллектуальной деятельности в 2021 - 2022 годах зарегистрировано 69 патентов на изобретения, число планируемых к регистрации патентов составляет не менее 100.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Для сохранения и развития имеющегося научного потенциала области необходимо преодоление негативных тенденций по прекращению оттока научных кадров из области и принятие мер для увеличения отгруженной инновационной продукции путем решения следующих задач: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создание новых и развитие действующих мер поддержки фундаментальной и прикладной науки как системообразующего института стратегического развития области;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привлечение грантовой поддержки в рамках всероссийских конкурсов инновационных и научных проектов и федеральных программ.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2"/>
      </w:pPr>
      <w:r>
        <w:t>Глава 3. ЗАДАЧИ ГОСУДАРСТВЕННОГО УПРАВЛЕНИЯ, СПОСОБЫ ИХ</w:t>
      </w:r>
    </w:p>
    <w:p w:rsidR="00CF31C3" w:rsidRDefault="00CF31C3">
      <w:pPr>
        <w:pStyle w:val="ConsPlusTitle"/>
        <w:jc w:val="center"/>
      </w:pPr>
      <w:r>
        <w:t>ЭФФЕКТИВНОГО РЕШЕНИЯ</w:t>
      </w:r>
    </w:p>
    <w:p w:rsidR="00CF31C3" w:rsidRDefault="00CF31C3">
      <w:pPr>
        <w:pStyle w:val="ConsPlusNormal"/>
        <w:jc w:val="center"/>
      </w:pPr>
    </w:p>
    <w:p w:rsidR="00CF31C3" w:rsidRDefault="00CF31C3">
      <w:pPr>
        <w:pStyle w:val="ConsPlusNormal"/>
        <w:jc w:val="center"/>
      </w:pPr>
      <w:proofErr w:type="gramStart"/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  <w:proofErr w:type="gramEnd"/>
    </w:p>
    <w:p w:rsidR="00CF31C3" w:rsidRDefault="00CF31C3">
      <w:pPr>
        <w:pStyle w:val="ConsPlusNormal"/>
        <w:jc w:val="center"/>
      </w:pPr>
      <w:r>
        <w:t>от 30.01.2025 N 74-пп)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>Реализация задач в сфере государственной программы осуществляется путем проведения (осуществления) конкретных мероприятий (результатов), входящих в состав структурных элементов (региональных проектов, ведомственных проектов, комплексов процессных мероприятий), включенных в систему документов государственной программы.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1"/>
      </w:pPr>
      <w:r>
        <w:t>Раздел II. ПАСПОРТ ГОСУДАРСТВЕННОЙ ПРОГРАММЫ ИРКУТСКОЙ</w:t>
      </w:r>
    </w:p>
    <w:p w:rsidR="00CF31C3" w:rsidRDefault="00CF31C3">
      <w:pPr>
        <w:pStyle w:val="ConsPlusTitle"/>
        <w:jc w:val="center"/>
      </w:pPr>
      <w:r>
        <w:t>ОБЛАСТИ "ЭКОНОМИЧЕСКОЕ РАЗВИТИЕ И ИННОВАЦИОННАЯ ЭКОНОМИКА"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 xml:space="preserve">Утратил силу.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Иркутской области от 30.01.2025 N 74-пп.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1"/>
      </w:pPr>
      <w:r>
        <w:t xml:space="preserve">Раздел II. ПРАВИЛА (ПОРЯДОК) ПРЕДОСТАВЛЕНИЯ </w:t>
      </w:r>
      <w:proofErr w:type="gramStart"/>
      <w:r>
        <w:t>МЕЖБЮДЖЕТНЫХ</w:t>
      </w:r>
      <w:proofErr w:type="gramEnd"/>
    </w:p>
    <w:p w:rsidR="00CF31C3" w:rsidRDefault="00CF31C3">
      <w:pPr>
        <w:pStyle w:val="ConsPlusTitle"/>
        <w:jc w:val="center"/>
      </w:pPr>
      <w:r>
        <w:t>ТРАНСФЕРТОВ ИЗ ОБЛАСТНОГО БЮДЖЕТА МЕСТНЫМ БЮДЖЕТАМ</w:t>
      </w:r>
    </w:p>
    <w:p w:rsidR="00CF31C3" w:rsidRDefault="00CF31C3">
      <w:pPr>
        <w:pStyle w:val="ConsPlusNormal"/>
        <w:jc w:val="center"/>
      </w:pPr>
      <w:proofErr w:type="gramStart"/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  <w:proofErr w:type="gramEnd"/>
    </w:p>
    <w:p w:rsidR="00CF31C3" w:rsidRDefault="00CF31C3">
      <w:pPr>
        <w:pStyle w:val="ConsPlusNormal"/>
        <w:jc w:val="center"/>
      </w:pPr>
      <w:r>
        <w:t>от 30.01.2025 N 74-пп)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r>
        <w:t xml:space="preserve">Данный раздел не содержит правила предоставления межбюджетных трансфертов местным бюджетам в соответствии с </w:t>
      </w:r>
      <w:hyperlink r:id="rId103">
        <w:r>
          <w:rPr>
            <w:color w:val="0000FF"/>
          </w:rPr>
          <w:t>пунктом 4 статьи 179</w:t>
        </w:r>
      </w:hyperlink>
      <w:r>
        <w:t xml:space="preserve"> Бюджетного кодекса Российской Федерации.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1"/>
      </w:pPr>
      <w:r>
        <w:t xml:space="preserve">Раздел </w:t>
      </w:r>
      <w:hyperlink r:id="rId104">
        <w:r>
          <w:rPr>
            <w:color w:val="0000FF"/>
          </w:rPr>
          <w:t>III</w:t>
        </w:r>
      </w:hyperlink>
      <w:r>
        <w:t>. ИНЫЕ ПОЛОЖЕНИЯ</w:t>
      </w:r>
    </w:p>
    <w:p w:rsidR="00CF31C3" w:rsidRDefault="00CF31C3">
      <w:pPr>
        <w:pStyle w:val="ConsPlusNormal"/>
        <w:jc w:val="center"/>
      </w:pPr>
    </w:p>
    <w:p w:rsidR="00CF31C3" w:rsidRDefault="00CF31C3">
      <w:pPr>
        <w:pStyle w:val="ConsPlusNormal"/>
        <w:jc w:val="center"/>
      </w:pPr>
      <w:proofErr w:type="gramStart"/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Иркутской области</w:t>
      </w:r>
      <w:proofErr w:type="gramEnd"/>
    </w:p>
    <w:p w:rsidR="00CF31C3" w:rsidRDefault="00CF31C3">
      <w:pPr>
        <w:pStyle w:val="ConsPlusNormal"/>
        <w:jc w:val="center"/>
      </w:pPr>
      <w:r>
        <w:t>от 29.02.2024 N 144-пп)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Title"/>
        <w:jc w:val="center"/>
        <w:outlineLvl w:val="2"/>
      </w:pPr>
      <w:r>
        <w:t>МЕРЫ ГОСУДАРСТВЕННОГО РЕГУЛИРОВАНИЯ, НАПРАВЛЕННЫЕ</w:t>
      </w:r>
    </w:p>
    <w:p w:rsidR="00CF31C3" w:rsidRDefault="00CF31C3">
      <w:pPr>
        <w:pStyle w:val="ConsPlusTitle"/>
        <w:jc w:val="center"/>
      </w:pPr>
      <w:r>
        <w:t>НА ДОСТИЖЕНИЕ ЦЕЛЕЙ ГОСУДАРСТВЕННОЙ ПРОГРАММЫ ИРКУТСКОЙ</w:t>
      </w:r>
    </w:p>
    <w:p w:rsidR="00CF31C3" w:rsidRDefault="00CF31C3">
      <w:pPr>
        <w:pStyle w:val="ConsPlusTitle"/>
        <w:jc w:val="center"/>
      </w:pPr>
      <w:r>
        <w:t>ОБЛАСТИ "ЭКОНОМИЧЕСКОЕ РАЗВИТИЕ И ИННОВАЦИОННАЯ ЭКОНОМИКА"</w:t>
      </w:r>
    </w:p>
    <w:p w:rsidR="00CF31C3" w:rsidRDefault="00CF31C3">
      <w:pPr>
        <w:pStyle w:val="ConsPlusTitle"/>
        <w:jc w:val="center"/>
      </w:pPr>
      <w:r>
        <w:t xml:space="preserve">И ЗАДАЧ ЕЕ СТРУКТУРНЫХ ЭЛЕМЕНТОВ И ОТДЕЛЬНЫХ </w:t>
      </w:r>
      <w:r>
        <w:lastRenderedPageBreak/>
        <w:t>МЕРОПРИЯТИЙ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ind w:firstLine="540"/>
        <w:jc w:val="both"/>
      </w:pPr>
      <w:proofErr w:type="gramStart"/>
      <w:r>
        <w:t xml:space="preserve">Одной из мер государственного регулирования, направленной на достижение целей государственной программы и задач ее структурных элементов и отдельных мероприятий, является мероприятие, направленное на поддержку субъектов малого и среднего предпринимательства (далее - СМСП) в соответствии с </w:t>
      </w:r>
      <w:hyperlink r:id="rId106">
        <w:r>
          <w:rPr>
            <w:color w:val="0000FF"/>
          </w:rPr>
          <w:t>Законом</w:t>
        </w:r>
      </w:hyperlink>
      <w:r>
        <w:t xml:space="preserve"> Иркутской области от 4 мая 2022 года N 27-ОЗ "Об отдельных вопросах размещения нестационарных торговых объектов на территории Иркутской области" в виде заключения договоров на</w:t>
      </w:r>
      <w:proofErr w:type="gramEnd"/>
      <w:r>
        <w:t xml:space="preserve"> размещение нестационарных торговых объектов на территории Иркутской области без проведения торгов (далее соответственно - мера поддержки, НТО), в соответствии с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от 26 июля 2006 года N 135-ФЗ "О защите конкуренции", Федеральным </w:t>
      </w:r>
      <w:hyperlink r:id="rId108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последние годы количество НТО, в которых осуществляется реализация печатной продукции (далее - газетно-журнальные киоски), на территории Иркутской области сокращается (по данным статистики на 1 января 2019 года количество НТО составляло 232 единицы, на 1 января 2024 года - 165 единиц). Таким образом, количество газетно-журнальных киосков на территории Иркутской области за 5 лет сократилось на 28,9%.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Сокращение количества газетно-журнальных киосков в Иркутской области обусловлено объективными социально-экономическими причинами. Снижение спроса населения на печатную продукцию за счет активного развития интернет-изданий и увеличение расходов по содержанию газетно-журнальных киосков (рост тарифов на электроэнергию, охрану и др.) ведут к нерентабельности газетно-журнальных киосков и снижению предпринимательской активности в данной отрасли.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Обеспечение совершенствования мер по развитию сети НТО, в которых осуществляется продажа печатной продукции, а также обеспечение совершенствования указанных мер предусмотрено </w:t>
      </w:r>
      <w:hyperlink r:id="rId109">
        <w:r>
          <w:rPr>
            <w:color w:val="0000FF"/>
          </w:rPr>
          <w:t>поручением</w:t>
        </w:r>
      </w:hyperlink>
      <w:r>
        <w:t xml:space="preserve"> Президента Российской Федерации В.В.Путина от 25 сентября 2019 года N Пр-1983.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Участие в торгах за право на предоставление земельного участка под размещение НТО несет определенную финансовую нагрузку, на которую не всегда готовы производители сельскохозяйственной продукции и продовольственных товаров, особенно с небольшими объемами производства.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Размещение НТО позволяет частично компенсировать отсутствие ярмарочных площадок во внутригородских кварталах и на придомовых территориях и обеспечить доступность продукции местных </w:t>
      </w:r>
      <w:r>
        <w:lastRenderedPageBreak/>
        <w:t>сельхозтоваропроизводителей для более широкого круга потребителей, наладить дополнительные каналы сбыта продукции для товаропроизводителей из разных районов Иркутской области, положительно сказывается на товарном насыщении потребительского рынка Иркутской области.</w:t>
      </w:r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t xml:space="preserve">Оказание содействия в получении юридическими и физическими лицами необходимого количества мест размещения НТО, продлении договоров на размещение НТО и объектов для осуществления развозной торговли без проведения торгов, в обеспечении максимальной доступности торговых объектов для населения, в увеличении ассортимента и разнообразия товаров, предлагаемых к реализации юридическими и физическими лицами, предусмотрено </w:t>
      </w:r>
      <w:hyperlink r:id="rId110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 января 2021 года N 208-р.</w:t>
      </w:r>
      <w:proofErr w:type="gramEnd"/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t xml:space="preserve">Также важность предоставления производителям (сельскохозяйственных и продовольственных товаров, в том числе фермерской продукции, текстиля, одежды, обуви и прочих)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 отражена Министерством промышленности и торговли Российской Федерации, Федеральной антимонопольной службой в </w:t>
      </w:r>
      <w:hyperlink r:id="rId111">
        <w:r>
          <w:rPr>
            <w:color w:val="0000FF"/>
          </w:rPr>
          <w:t>письме</w:t>
        </w:r>
      </w:hyperlink>
      <w:r>
        <w:t xml:space="preserve"> от 23 июня 2020 года</w:t>
      </w:r>
      <w:proofErr w:type="gramEnd"/>
      <w:r>
        <w:t xml:space="preserve"> N ЕВ-43474/15/АД/52718/20 "О предоставлении муниципальных преференций производителям товаров при организации нестационарной и мобильной торговли".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В целях активизации деятельности специализированных НТО, обеспечения продовольственной безопасности, стимулирования предпринимательской активности и самозанятости граждан, расширения возможностей сбыта продукции отечественных производителей товаров, увеличения доходов и роста благосостояния граждан необходимо принятие дополнительных мер поддержки следующим категориям СМСП (далее - отдельные категории):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1) сельскохозяйственным товаропроизводителям, осуществляющим свою деятельность на территории Иркутской области, соответствующим положениям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29 декабря 2006 года N 264-ФЗ "О развитии сельского хозяйства":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имеющим выручку от реализации товаров (работ, услуг) без учета налога на добавленную стоимость за предыдущий год в размере менее 800 млн. рублей (для сельскохозяйственных товаропроизводителей, сельскохозяйственных потребительских кооперативов, относящихся к малым формам хозяйствования);</w:t>
      </w:r>
    </w:p>
    <w:p w:rsidR="00CF31C3" w:rsidRDefault="00CF31C3">
      <w:pPr>
        <w:pStyle w:val="ConsPlusNormal"/>
        <w:spacing w:before="280"/>
        <w:ind w:firstLine="540"/>
        <w:jc w:val="both"/>
      </w:pPr>
      <w:proofErr w:type="gramStart"/>
      <w:r>
        <w:lastRenderedPageBreak/>
        <w:t>имеющим выручку от реализации товаров (работ, услуг) без учета налога на добавленную стоимость за предыдущий год в размере от 800 млн. рублей (включительно) до 2 млрд. рублей (для сельскохозяйственных товаропроизводителей, сельскохозяйственных потребительских кооперативов, относящихся к средним формам хозяйствования);</w:t>
      </w:r>
      <w:proofErr w:type="gramEnd"/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2) товаропроизводителям - юридическим лицам, индивидуальным предпринимателям, осуществляющим производство продовольственных товаров, имеющим за предыдущий год не менее 70 процентов дохода от реализации продовольственных товаров, произведенных ими в результате осуществления вида экономической деятельности, включенного в класс 10 "Производство пищевых продуктов" раздела С "Обрабатывающие производства" Общероссийского </w:t>
      </w:r>
      <w:hyperlink r:id="rId113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</w:t>
      </w:r>
      <w:proofErr w:type="gramStart"/>
      <w:r>
        <w:t>ОК</w:t>
      </w:r>
      <w:proofErr w:type="gramEnd"/>
      <w:r>
        <w:t xml:space="preserve"> 029-2014 (КДЕС РЕД. 2);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 xml:space="preserve">3) юридическому лицу, индивидуальному предпринимателю, реализующим печатную продукцию, основным или дополнительным видом экономической </w:t>
      </w:r>
      <w:proofErr w:type="gramStart"/>
      <w:r>
        <w:t>деятельности</w:t>
      </w:r>
      <w:proofErr w:type="gramEnd"/>
      <w:r>
        <w:t xml:space="preserve"> которых является торговля розничная газетами и канцелярскими товарами в специализированных магазинах, соответствующим хотя бы одному из требований: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заключен договор (договоры) на поставку периодических печатных изданий с издательствами периодических печатных изданий (газет, журналов) и (или) организациями, осуществляющими поставку такой продукции, на срок не менее одного года;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доля продажи газет и журналов в товарообороте юридического лица, индивидуального предпринимателя за календарный год, предшествующий году обращения за мерой поддержки, составляет не менее 50 процентов товарооборота.</w:t>
      </w:r>
    </w:p>
    <w:p w:rsidR="00CF31C3" w:rsidRDefault="00CF31C3">
      <w:pPr>
        <w:pStyle w:val="ConsPlusNormal"/>
        <w:spacing w:before="280"/>
        <w:ind w:firstLine="540"/>
        <w:jc w:val="both"/>
      </w:pPr>
      <w:r>
        <w:t>Подтверждение соответствия СМСП отдельной категории и предоставление мер поддержки осуществляется в порядке, определенном органом, уполномоченным на заключение договоров на размещение НТО на землях и земельных участках, находящихся в государственной собственности Иркутской области.</w:t>
      </w: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jc w:val="both"/>
      </w:pPr>
    </w:p>
    <w:p w:rsidR="00CF31C3" w:rsidRDefault="00CF31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DDD" w:rsidRDefault="00847DDD">
      <w:bookmarkStart w:id="1" w:name="_GoBack"/>
      <w:bookmarkEnd w:id="1"/>
    </w:p>
    <w:sectPr w:rsidR="00847DDD" w:rsidSect="00F7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C3"/>
    <w:rsid w:val="00182473"/>
    <w:rsid w:val="00847DDD"/>
    <w:rsid w:val="00BE3E86"/>
    <w:rsid w:val="00C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1C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F31C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F31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1C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F31C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F31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1&amp;n=160967" TargetMode="External"/><Relationship Id="rId21" Type="http://schemas.openxmlformats.org/officeDocument/2006/relationships/hyperlink" Target="https://login.consultant.ru/link/?req=doc&amp;base=RLAW411&amp;n=207415" TargetMode="External"/><Relationship Id="rId42" Type="http://schemas.openxmlformats.org/officeDocument/2006/relationships/hyperlink" Target="https://login.consultant.ru/link/?req=doc&amp;base=RLAW411&amp;n=176475" TargetMode="External"/><Relationship Id="rId47" Type="http://schemas.openxmlformats.org/officeDocument/2006/relationships/hyperlink" Target="https://login.consultant.ru/link/?req=doc&amp;base=RLAW411&amp;n=183383" TargetMode="External"/><Relationship Id="rId63" Type="http://schemas.openxmlformats.org/officeDocument/2006/relationships/hyperlink" Target="https://login.consultant.ru/link/?req=doc&amp;base=RLAW411&amp;n=196243" TargetMode="External"/><Relationship Id="rId68" Type="http://schemas.openxmlformats.org/officeDocument/2006/relationships/hyperlink" Target="https://login.consultant.ru/link/?req=doc&amp;base=RLAW411&amp;n=203295" TargetMode="External"/><Relationship Id="rId84" Type="http://schemas.openxmlformats.org/officeDocument/2006/relationships/hyperlink" Target="https://login.consultant.ru/link/?req=doc&amp;base=RLAW411&amp;n=217640&amp;dst=100005" TargetMode="External"/><Relationship Id="rId89" Type="http://schemas.openxmlformats.org/officeDocument/2006/relationships/hyperlink" Target="https://login.consultant.ru/link/?req=doc&amp;base=LAW&amp;n=504588&amp;dst=100016" TargetMode="External"/><Relationship Id="rId112" Type="http://schemas.openxmlformats.org/officeDocument/2006/relationships/hyperlink" Target="https://login.consultant.ru/link/?req=doc&amp;base=LAW&amp;n=483244" TargetMode="External"/><Relationship Id="rId16" Type="http://schemas.openxmlformats.org/officeDocument/2006/relationships/hyperlink" Target="https://login.consultant.ru/link/?req=doc&amp;base=RLAW411&amp;n=218502&amp;dst=100005" TargetMode="External"/><Relationship Id="rId107" Type="http://schemas.openxmlformats.org/officeDocument/2006/relationships/hyperlink" Target="https://login.consultant.ru/link/?req=doc&amp;base=LAW&amp;n=488090" TargetMode="External"/><Relationship Id="rId11" Type="http://schemas.openxmlformats.org/officeDocument/2006/relationships/hyperlink" Target="https://login.consultant.ru/link/?req=doc&amp;base=RLAW411&amp;n=214028&amp;dst=100005" TargetMode="External"/><Relationship Id="rId24" Type="http://schemas.openxmlformats.org/officeDocument/2006/relationships/hyperlink" Target="https://login.consultant.ru/link/?req=doc&amp;base=RLAW411&amp;n=156874" TargetMode="External"/><Relationship Id="rId32" Type="http://schemas.openxmlformats.org/officeDocument/2006/relationships/hyperlink" Target="https://login.consultant.ru/link/?req=doc&amp;base=RLAW411&amp;n=165067" TargetMode="External"/><Relationship Id="rId37" Type="http://schemas.openxmlformats.org/officeDocument/2006/relationships/hyperlink" Target="https://login.consultant.ru/link/?req=doc&amp;base=RLAW411&amp;n=169213" TargetMode="External"/><Relationship Id="rId40" Type="http://schemas.openxmlformats.org/officeDocument/2006/relationships/hyperlink" Target="https://login.consultant.ru/link/?req=doc&amp;base=RLAW411&amp;n=173159" TargetMode="External"/><Relationship Id="rId45" Type="http://schemas.openxmlformats.org/officeDocument/2006/relationships/hyperlink" Target="https://login.consultant.ru/link/?req=doc&amp;base=RLAW411&amp;n=179728" TargetMode="External"/><Relationship Id="rId53" Type="http://schemas.openxmlformats.org/officeDocument/2006/relationships/hyperlink" Target="https://login.consultant.ru/link/?req=doc&amp;base=RLAW411&amp;n=187136" TargetMode="External"/><Relationship Id="rId58" Type="http://schemas.openxmlformats.org/officeDocument/2006/relationships/hyperlink" Target="https://login.consultant.ru/link/?req=doc&amp;base=RLAW411&amp;n=191738" TargetMode="External"/><Relationship Id="rId66" Type="http://schemas.openxmlformats.org/officeDocument/2006/relationships/hyperlink" Target="https://login.consultant.ru/link/?req=doc&amp;base=RLAW411&amp;n=201254" TargetMode="External"/><Relationship Id="rId74" Type="http://schemas.openxmlformats.org/officeDocument/2006/relationships/hyperlink" Target="www.pravo.gov.ru" TargetMode="External"/><Relationship Id="rId79" Type="http://schemas.openxmlformats.org/officeDocument/2006/relationships/hyperlink" Target="https://login.consultant.ru/link/?req=doc&amp;base=RLAW411&amp;n=213519&amp;dst=100005" TargetMode="External"/><Relationship Id="rId87" Type="http://schemas.openxmlformats.org/officeDocument/2006/relationships/hyperlink" Target="https://login.consultant.ru/link/?req=doc&amp;base=LAW&amp;n=475991" TargetMode="External"/><Relationship Id="rId102" Type="http://schemas.openxmlformats.org/officeDocument/2006/relationships/hyperlink" Target="https://login.consultant.ru/link/?req=doc&amp;base=RLAW411&amp;n=218502&amp;dst=100012" TargetMode="External"/><Relationship Id="rId110" Type="http://schemas.openxmlformats.org/officeDocument/2006/relationships/hyperlink" Target="https://login.consultant.ru/link/?req=doc&amp;base=LAW&amp;n=435443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411&amp;n=193126" TargetMode="External"/><Relationship Id="rId82" Type="http://schemas.openxmlformats.org/officeDocument/2006/relationships/hyperlink" Target="https://login.consultant.ru/link/?req=doc&amp;base=RLAW411&amp;n=216337&amp;dst=100005" TargetMode="External"/><Relationship Id="rId90" Type="http://schemas.openxmlformats.org/officeDocument/2006/relationships/hyperlink" Target="https://login.consultant.ru/link/?req=doc&amp;base=LAW&amp;n=493974&amp;dst=18892" TargetMode="External"/><Relationship Id="rId95" Type="http://schemas.openxmlformats.org/officeDocument/2006/relationships/hyperlink" Target="https://login.consultant.ru/link/?req=doc&amp;base=RLAW411&amp;n=213519&amp;dst=100012" TargetMode="External"/><Relationship Id="rId19" Type="http://schemas.openxmlformats.org/officeDocument/2006/relationships/hyperlink" Target="https://login.consultant.ru/link/?req=doc&amp;base=RLAW411&amp;n=216538&amp;dst=101231" TargetMode="External"/><Relationship Id="rId14" Type="http://schemas.openxmlformats.org/officeDocument/2006/relationships/hyperlink" Target="https://login.consultant.ru/link/?req=doc&amp;base=RLAW411&amp;n=217207&amp;dst=100005" TargetMode="External"/><Relationship Id="rId22" Type="http://schemas.openxmlformats.org/officeDocument/2006/relationships/hyperlink" Target="https://login.consultant.ru/link/?req=doc&amp;base=RLAW411&amp;n=156474" TargetMode="External"/><Relationship Id="rId27" Type="http://schemas.openxmlformats.org/officeDocument/2006/relationships/hyperlink" Target="https://login.consultant.ru/link/?req=doc&amp;base=RLAW411&amp;n=161931" TargetMode="External"/><Relationship Id="rId30" Type="http://schemas.openxmlformats.org/officeDocument/2006/relationships/hyperlink" Target="https://login.consultant.ru/link/?req=doc&amp;base=RLAW411&amp;n=164180" TargetMode="External"/><Relationship Id="rId35" Type="http://schemas.openxmlformats.org/officeDocument/2006/relationships/hyperlink" Target="https://login.consultant.ru/link/?req=doc&amp;base=RLAW411&amp;n=167474" TargetMode="External"/><Relationship Id="rId43" Type="http://schemas.openxmlformats.org/officeDocument/2006/relationships/hyperlink" Target="https://login.consultant.ru/link/?req=doc&amp;base=RLAW411&amp;n=176619" TargetMode="External"/><Relationship Id="rId48" Type="http://schemas.openxmlformats.org/officeDocument/2006/relationships/hyperlink" Target="https://login.consultant.ru/link/?req=doc&amp;base=RLAW411&amp;n=184234" TargetMode="External"/><Relationship Id="rId56" Type="http://schemas.openxmlformats.org/officeDocument/2006/relationships/hyperlink" Target="https://login.consultant.ru/link/?req=doc&amp;base=RLAW411&amp;n=189414" TargetMode="External"/><Relationship Id="rId64" Type="http://schemas.openxmlformats.org/officeDocument/2006/relationships/hyperlink" Target="https://login.consultant.ru/link/?req=doc&amp;base=RLAW411&amp;n=197856" TargetMode="External"/><Relationship Id="rId69" Type="http://schemas.openxmlformats.org/officeDocument/2006/relationships/hyperlink" Target="https://login.consultant.ru/link/?req=doc&amp;base=RLAW411&amp;n=203924" TargetMode="External"/><Relationship Id="rId77" Type="http://schemas.openxmlformats.org/officeDocument/2006/relationships/hyperlink" Target="https://login.consultant.ru/link/?req=doc&amp;base=RLAW411&amp;n=211849&amp;dst=100005" TargetMode="External"/><Relationship Id="rId100" Type="http://schemas.openxmlformats.org/officeDocument/2006/relationships/hyperlink" Target="https://login.consultant.ru/link/?req=doc&amp;base=RLAW411&amp;n=218502&amp;dst=100008" TargetMode="External"/><Relationship Id="rId105" Type="http://schemas.openxmlformats.org/officeDocument/2006/relationships/hyperlink" Target="https://login.consultant.ru/link/?req=doc&amp;base=RLAW411&amp;n=209936&amp;dst=100021" TargetMode="External"/><Relationship Id="rId113" Type="http://schemas.openxmlformats.org/officeDocument/2006/relationships/hyperlink" Target="https://login.consultant.ru/link/?req=doc&amp;base=LAW&amp;n=506195" TargetMode="External"/><Relationship Id="rId8" Type="http://schemas.openxmlformats.org/officeDocument/2006/relationships/hyperlink" Target="https://login.consultant.ru/link/?req=doc&amp;base=RLAW411&amp;n=211849&amp;dst=100005" TargetMode="External"/><Relationship Id="rId51" Type="http://schemas.openxmlformats.org/officeDocument/2006/relationships/hyperlink" Target="https://login.consultant.ru/link/?req=doc&amp;base=RLAW411&amp;n=187097" TargetMode="External"/><Relationship Id="rId72" Type="http://schemas.openxmlformats.org/officeDocument/2006/relationships/hyperlink" Target="https://login.consultant.ru/link/?req=doc&amp;base=RLAW411&amp;n=204958" TargetMode="External"/><Relationship Id="rId80" Type="http://schemas.openxmlformats.org/officeDocument/2006/relationships/hyperlink" Target="https://login.consultant.ru/link/?req=doc&amp;base=RLAW411&amp;n=214028&amp;dst=100005" TargetMode="External"/><Relationship Id="rId85" Type="http://schemas.openxmlformats.org/officeDocument/2006/relationships/hyperlink" Target="https://login.consultant.ru/link/?req=doc&amp;base=RLAW411&amp;n=218502&amp;dst=100005" TargetMode="External"/><Relationship Id="rId93" Type="http://schemas.openxmlformats.org/officeDocument/2006/relationships/hyperlink" Target="https://login.consultant.ru/link/?req=doc&amp;base=RLAW411&amp;n=213519&amp;dst=100009" TargetMode="External"/><Relationship Id="rId98" Type="http://schemas.openxmlformats.org/officeDocument/2006/relationships/hyperlink" Target="https://login.consultant.ru/link/?req=doc&amp;base=RLAW411&amp;n=218502&amp;dst=1000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11&amp;n=215059&amp;dst=100005" TargetMode="External"/><Relationship Id="rId17" Type="http://schemas.openxmlformats.org/officeDocument/2006/relationships/hyperlink" Target="https://login.consultant.ru/link/?req=doc&amp;base=LAW&amp;n=500021&amp;dst=7419" TargetMode="External"/><Relationship Id="rId25" Type="http://schemas.openxmlformats.org/officeDocument/2006/relationships/hyperlink" Target="https://login.consultant.ru/link/?req=doc&amp;base=RLAW411&amp;n=160248" TargetMode="External"/><Relationship Id="rId33" Type="http://schemas.openxmlformats.org/officeDocument/2006/relationships/hyperlink" Target="https://login.consultant.ru/link/?req=doc&amp;base=RLAW411&amp;n=165389" TargetMode="External"/><Relationship Id="rId38" Type="http://schemas.openxmlformats.org/officeDocument/2006/relationships/hyperlink" Target="https://login.consultant.ru/link/?req=doc&amp;base=RLAW411&amp;n=169563" TargetMode="External"/><Relationship Id="rId46" Type="http://schemas.openxmlformats.org/officeDocument/2006/relationships/hyperlink" Target="https://login.consultant.ru/link/?req=doc&amp;base=RLAW411&amp;n=181664" TargetMode="External"/><Relationship Id="rId59" Type="http://schemas.openxmlformats.org/officeDocument/2006/relationships/hyperlink" Target="https://login.consultant.ru/link/?req=doc&amp;base=RLAW411&amp;n=192648" TargetMode="External"/><Relationship Id="rId67" Type="http://schemas.openxmlformats.org/officeDocument/2006/relationships/hyperlink" Target="https://login.consultant.ru/link/?req=doc&amp;base=RLAW411&amp;n=201430" TargetMode="External"/><Relationship Id="rId103" Type="http://schemas.openxmlformats.org/officeDocument/2006/relationships/hyperlink" Target="https://login.consultant.ru/link/?req=doc&amp;base=LAW&amp;n=500021&amp;dst=5789" TargetMode="External"/><Relationship Id="rId108" Type="http://schemas.openxmlformats.org/officeDocument/2006/relationships/hyperlink" Target="https://login.consultant.ru/link/?req=doc&amp;base=LAW&amp;n=505966" TargetMode="External"/><Relationship Id="rId20" Type="http://schemas.openxmlformats.org/officeDocument/2006/relationships/hyperlink" Target="https://login.consultant.ru/link/?req=doc&amp;base=RLAW411&amp;n=216538&amp;dst=100563" TargetMode="External"/><Relationship Id="rId41" Type="http://schemas.openxmlformats.org/officeDocument/2006/relationships/hyperlink" Target="https://login.consultant.ru/link/?req=doc&amp;base=RLAW411&amp;n=175361" TargetMode="External"/><Relationship Id="rId54" Type="http://schemas.openxmlformats.org/officeDocument/2006/relationships/hyperlink" Target="https://login.consultant.ru/link/?req=doc&amp;base=RLAW411&amp;n=187676" TargetMode="External"/><Relationship Id="rId62" Type="http://schemas.openxmlformats.org/officeDocument/2006/relationships/hyperlink" Target="https://login.consultant.ru/link/?req=doc&amp;base=RLAW411&amp;n=195787" TargetMode="External"/><Relationship Id="rId70" Type="http://schemas.openxmlformats.org/officeDocument/2006/relationships/hyperlink" Target="https://login.consultant.ru/link/?req=doc&amp;base=RLAW411&amp;n=204221" TargetMode="External"/><Relationship Id="rId75" Type="http://schemas.openxmlformats.org/officeDocument/2006/relationships/hyperlink" Target="https://login.consultant.ru/link/?req=doc&amp;base=RLAW411&amp;n=208827&amp;dst=100005" TargetMode="External"/><Relationship Id="rId83" Type="http://schemas.openxmlformats.org/officeDocument/2006/relationships/hyperlink" Target="https://login.consultant.ru/link/?req=doc&amp;base=RLAW411&amp;n=217207&amp;dst=100005" TargetMode="External"/><Relationship Id="rId88" Type="http://schemas.openxmlformats.org/officeDocument/2006/relationships/hyperlink" Target="https://login.consultant.ru/link/?req=doc&amp;base=RLAW411&amp;n=213519&amp;dst=100007" TargetMode="External"/><Relationship Id="rId91" Type="http://schemas.openxmlformats.org/officeDocument/2006/relationships/hyperlink" Target="https://login.consultant.ru/link/?req=doc&amp;base=LAW&amp;n=505483&amp;dst=9854" TargetMode="External"/><Relationship Id="rId96" Type="http://schemas.openxmlformats.org/officeDocument/2006/relationships/hyperlink" Target="https://login.consultant.ru/link/?req=doc&amp;base=RLAW411&amp;n=213519&amp;dst=100013" TargetMode="External"/><Relationship Id="rId111" Type="http://schemas.openxmlformats.org/officeDocument/2006/relationships/hyperlink" Target="https://login.consultant.ru/link/?req=doc&amp;base=LAW&amp;n=3104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208827&amp;dst=100005" TargetMode="External"/><Relationship Id="rId15" Type="http://schemas.openxmlformats.org/officeDocument/2006/relationships/hyperlink" Target="https://login.consultant.ru/link/?req=doc&amp;base=RLAW411&amp;n=217640&amp;dst=100005" TargetMode="External"/><Relationship Id="rId23" Type="http://schemas.openxmlformats.org/officeDocument/2006/relationships/hyperlink" Target="https://login.consultant.ru/link/?req=doc&amp;base=RLAW411&amp;n=156913" TargetMode="External"/><Relationship Id="rId28" Type="http://schemas.openxmlformats.org/officeDocument/2006/relationships/hyperlink" Target="https://login.consultant.ru/link/?req=doc&amp;base=RLAW411&amp;n=163537" TargetMode="External"/><Relationship Id="rId36" Type="http://schemas.openxmlformats.org/officeDocument/2006/relationships/hyperlink" Target="https://login.consultant.ru/link/?req=doc&amp;base=RLAW411&amp;n=167275" TargetMode="External"/><Relationship Id="rId49" Type="http://schemas.openxmlformats.org/officeDocument/2006/relationships/hyperlink" Target="https://login.consultant.ru/link/?req=doc&amp;base=RLAW411&amp;n=185201" TargetMode="External"/><Relationship Id="rId57" Type="http://schemas.openxmlformats.org/officeDocument/2006/relationships/hyperlink" Target="https://login.consultant.ru/link/?req=doc&amp;base=RLAW411&amp;n=190807" TargetMode="External"/><Relationship Id="rId106" Type="http://schemas.openxmlformats.org/officeDocument/2006/relationships/hyperlink" Target="https://login.consultant.ru/link/?req=doc&amp;base=RLAW411&amp;n=190419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1&amp;n=213519&amp;dst=100005" TargetMode="External"/><Relationship Id="rId31" Type="http://schemas.openxmlformats.org/officeDocument/2006/relationships/hyperlink" Target="https://login.consultant.ru/link/?req=doc&amp;base=RLAW411&amp;n=164558" TargetMode="External"/><Relationship Id="rId44" Type="http://schemas.openxmlformats.org/officeDocument/2006/relationships/hyperlink" Target="https://login.consultant.ru/link/?req=doc&amp;base=RLAW411&amp;n=178261" TargetMode="External"/><Relationship Id="rId52" Type="http://schemas.openxmlformats.org/officeDocument/2006/relationships/hyperlink" Target="https://login.consultant.ru/link/?req=doc&amp;base=RLAW411&amp;n=187120" TargetMode="External"/><Relationship Id="rId60" Type="http://schemas.openxmlformats.org/officeDocument/2006/relationships/hyperlink" Target="https://login.consultant.ru/link/?req=doc&amp;base=RLAW411&amp;n=192957" TargetMode="External"/><Relationship Id="rId65" Type="http://schemas.openxmlformats.org/officeDocument/2006/relationships/hyperlink" Target="https://login.consultant.ru/link/?req=doc&amp;base=RLAW411&amp;n=199490" TargetMode="External"/><Relationship Id="rId73" Type="http://schemas.openxmlformats.org/officeDocument/2006/relationships/hyperlink" Target="https://login.consultant.ru/link/?req=doc&amp;base=RLAW411&amp;n=205577" TargetMode="External"/><Relationship Id="rId78" Type="http://schemas.openxmlformats.org/officeDocument/2006/relationships/hyperlink" Target="https://login.consultant.ru/link/?req=doc&amp;base=RLAW411&amp;n=212900&amp;dst=100005" TargetMode="External"/><Relationship Id="rId81" Type="http://schemas.openxmlformats.org/officeDocument/2006/relationships/hyperlink" Target="https://login.consultant.ru/link/?req=doc&amp;base=RLAW411&amp;n=215059&amp;dst=100005" TargetMode="External"/><Relationship Id="rId86" Type="http://schemas.openxmlformats.org/officeDocument/2006/relationships/hyperlink" Target="https://login.consultant.ru/link/?req=doc&amp;base=LAW&amp;n=358026&amp;dst=100219" TargetMode="External"/><Relationship Id="rId94" Type="http://schemas.openxmlformats.org/officeDocument/2006/relationships/hyperlink" Target="https://login.consultant.ru/link/?req=doc&amp;base=RLAW411&amp;n=213519&amp;dst=100011" TargetMode="External"/><Relationship Id="rId99" Type="http://schemas.openxmlformats.org/officeDocument/2006/relationships/hyperlink" Target="https://login.consultant.ru/link/?req=doc&amp;base=RLAW411&amp;n=127755" TargetMode="External"/><Relationship Id="rId101" Type="http://schemas.openxmlformats.org/officeDocument/2006/relationships/hyperlink" Target="https://login.consultant.ru/link/?req=doc&amp;base=RLAW411&amp;n=218502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12900&amp;dst=100005" TargetMode="External"/><Relationship Id="rId13" Type="http://schemas.openxmlformats.org/officeDocument/2006/relationships/hyperlink" Target="https://login.consultant.ru/link/?req=doc&amp;base=RLAW411&amp;n=216337&amp;dst=100005" TargetMode="External"/><Relationship Id="rId18" Type="http://schemas.openxmlformats.org/officeDocument/2006/relationships/hyperlink" Target="https://login.consultant.ru/link/?req=doc&amp;base=RLAW411&amp;n=219897&amp;dst=100109" TargetMode="External"/><Relationship Id="rId39" Type="http://schemas.openxmlformats.org/officeDocument/2006/relationships/hyperlink" Target="https://login.consultant.ru/link/?req=doc&amp;base=RLAW411&amp;n=173406" TargetMode="External"/><Relationship Id="rId109" Type="http://schemas.openxmlformats.org/officeDocument/2006/relationships/hyperlink" Target="https://login.consultant.ru/link/?req=doc&amp;base=LAW&amp;n=334172" TargetMode="External"/><Relationship Id="rId34" Type="http://schemas.openxmlformats.org/officeDocument/2006/relationships/hyperlink" Target="https://login.consultant.ru/link/?req=doc&amp;base=RLAW411&amp;n=165945" TargetMode="External"/><Relationship Id="rId50" Type="http://schemas.openxmlformats.org/officeDocument/2006/relationships/hyperlink" Target="https://login.consultant.ru/link/?req=doc&amp;base=RLAW411&amp;n=186038" TargetMode="External"/><Relationship Id="rId55" Type="http://schemas.openxmlformats.org/officeDocument/2006/relationships/hyperlink" Target="https://login.consultant.ru/link/?req=doc&amp;base=RLAW411&amp;n=189003" TargetMode="External"/><Relationship Id="rId76" Type="http://schemas.openxmlformats.org/officeDocument/2006/relationships/hyperlink" Target="https://login.consultant.ru/link/?req=doc&amp;base=RLAW411&amp;n=209936&amp;dst=100005" TargetMode="External"/><Relationship Id="rId97" Type="http://schemas.openxmlformats.org/officeDocument/2006/relationships/hyperlink" Target="https://login.consultant.ru/link/?req=doc&amp;base=RLAW411&amp;n=213519&amp;dst=100015" TargetMode="External"/><Relationship Id="rId104" Type="http://schemas.openxmlformats.org/officeDocument/2006/relationships/hyperlink" Target="https://login.consultant.ru/link/?req=doc&amp;base=RLAW411&amp;n=218502&amp;dst=100014" TargetMode="External"/><Relationship Id="rId7" Type="http://schemas.openxmlformats.org/officeDocument/2006/relationships/hyperlink" Target="https://login.consultant.ru/link/?req=doc&amp;base=RLAW411&amp;n=209936&amp;dst=100005" TargetMode="External"/><Relationship Id="rId71" Type="http://schemas.openxmlformats.org/officeDocument/2006/relationships/hyperlink" Target="https://login.consultant.ru/link/?req=doc&amp;base=RLAW411&amp;n=204225" TargetMode="External"/><Relationship Id="rId92" Type="http://schemas.openxmlformats.org/officeDocument/2006/relationships/hyperlink" Target="https://login.consultant.ru/link/?req=doc&amp;base=RLAW411&amp;n=21614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411&amp;n=164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8555</Words>
  <Characters>48765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2025-07-03T01:13:00Z</dcterms:created>
  <dcterms:modified xsi:type="dcterms:W3CDTF">2025-07-03T01:15:00Z</dcterms:modified>
</cp:coreProperties>
</file>