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AA782D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AA782D" w:rsidP="00AA782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16.06.2016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AA782D" w:rsidP="00AA782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110-37-685-16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D5609D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</w:t>
            </w:r>
            <w:r w:rsidR="00D5609D" w:rsidRPr="00E20869">
              <w:rPr>
                <w:sz w:val="24"/>
                <w:szCs w:val="24"/>
              </w:rPr>
              <w:t xml:space="preserve">на </w:t>
            </w:r>
            <w:r w:rsidR="00D5609D" w:rsidRPr="00EA783F">
              <w:rPr>
                <w:sz w:val="24"/>
                <w:szCs w:val="24"/>
              </w:rPr>
              <w:t xml:space="preserve">условно разрешенный вид использования </w:t>
            </w:r>
            <w:r w:rsidR="00D5609D">
              <w:rPr>
                <w:sz w:val="24"/>
                <w:szCs w:val="24"/>
              </w:rPr>
              <w:t>земельного</w:t>
            </w:r>
            <w:r w:rsidR="00D5609D" w:rsidRPr="00EA783F">
              <w:rPr>
                <w:sz w:val="24"/>
                <w:szCs w:val="24"/>
              </w:rPr>
              <w:t xml:space="preserve"> участк</w:t>
            </w:r>
            <w:r w:rsidR="00D5609D">
              <w:rPr>
                <w:sz w:val="24"/>
                <w:szCs w:val="24"/>
              </w:rPr>
              <w:t xml:space="preserve">а </w:t>
            </w:r>
            <w:r w:rsidR="003A504B">
              <w:rPr>
                <w:sz w:val="24"/>
                <w:szCs w:val="24"/>
              </w:rPr>
              <w:t>«</w:t>
            </w:r>
            <w:r w:rsidR="00D5609D">
              <w:rPr>
                <w:sz w:val="24"/>
                <w:szCs w:val="24"/>
              </w:rPr>
              <w:t xml:space="preserve">наземный гараж» и </w:t>
            </w:r>
            <w:r w:rsidR="00E20869" w:rsidRPr="00E20869">
              <w:rPr>
                <w:sz w:val="24"/>
                <w:szCs w:val="24"/>
              </w:rPr>
              <w:t>на отклонение от предельных параметров разрешенного строительства для земельного участка с кадастровым номером 38:28:010</w:t>
            </w:r>
            <w:r w:rsidR="00A74331">
              <w:rPr>
                <w:sz w:val="24"/>
                <w:szCs w:val="24"/>
              </w:rPr>
              <w:t>416</w:t>
            </w:r>
            <w:r w:rsidR="00E20869" w:rsidRPr="00E20869">
              <w:rPr>
                <w:sz w:val="24"/>
                <w:szCs w:val="24"/>
              </w:rPr>
              <w:t>:</w:t>
            </w:r>
            <w:r w:rsidR="00A74331">
              <w:rPr>
                <w:sz w:val="24"/>
                <w:szCs w:val="24"/>
              </w:rPr>
              <w:t>36, расположенного</w:t>
            </w:r>
            <w:r w:rsidR="00E20869" w:rsidRPr="00E20869">
              <w:rPr>
                <w:sz w:val="24"/>
                <w:szCs w:val="24"/>
              </w:rPr>
              <w:t xml:space="preserve">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A74331">
              <w:rPr>
                <w:sz w:val="24"/>
                <w:szCs w:val="24"/>
              </w:rPr>
              <w:t>6а</w:t>
            </w:r>
            <w:r w:rsidR="00E569C6" w:rsidRPr="00E569C6">
              <w:rPr>
                <w:sz w:val="24"/>
                <w:szCs w:val="24"/>
              </w:rPr>
              <w:t xml:space="preserve">, </w:t>
            </w:r>
            <w:r w:rsidR="00A74331">
              <w:rPr>
                <w:sz w:val="24"/>
                <w:szCs w:val="24"/>
              </w:rPr>
              <w:t xml:space="preserve">улица </w:t>
            </w:r>
            <w:proofErr w:type="spellStart"/>
            <w:r w:rsidR="00A74331">
              <w:rPr>
                <w:sz w:val="24"/>
                <w:szCs w:val="24"/>
              </w:rPr>
              <w:t>Дворовкина</w:t>
            </w:r>
            <w:proofErr w:type="spellEnd"/>
            <w:r w:rsidR="00A74331">
              <w:rPr>
                <w:sz w:val="24"/>
                <w:szCs w:val="24"/>
              </w:rPr>
              <w:t>, в 200 метрах южнее Ленинградского проспекта</w:t>
            </w:r>
            <w:r w:rsidR="0015654B">
              <w:rPr>
                <w:sz w:val="24"/>
                <w:szCs w:val="24"/>
              </w:rPr>
              <w:t xml:space="preserve"> </w:t>
            </w:r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A74331">
              <w:rPr>
                <w:sz w:val="24"/>
                <w:szCs w:val="24"/>
              </w:rPr>
              <w:t>предельного минимального размера земельного участка, минимального отступа от границ смежного земельного участка</w:t>
            </w:r>
            <w:r w:rsidR="00D5609D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1964FB">
        <w:rPr>
          <w:sz w:val="26"/>
          <w:szCs w:val="26"/>
        </w:rPr>
        <w:t xml:space="preserve">советника управляющего </w:t>
      </w:r>
      <w:r w:rsidR="008702A2">
        <w:rPr>
          <w:sz w:val="26"/>
          <w:szCs w:val="26"/>
        </w:rPr>
        <w:t>епархией по вопросам строительства и земельно-имущественным отношениям МЕСТНОЙ РЕЛИГИОЗНОЙ ОРГАНИЗАЦИИ</w:t>
      </w:r>
      <w:r w:rsidR="00793937">
        <w:rPr>
          <w:sz w:val="26"/>
          <w:szCs w:val="26"/>
        </w:rPr>
        <w:t xml:space="preserve"> ПРАВОСЛАВНЫЙ ПРИХОД ХРАМА БЛАГОВЕЩЕНИЯ Г. САЯНСКА ИРКУТСКОЙ ОБЛАСТИ САЯНСКОЙ ЕПАРХИИ РУССКОЙ ПРАВОСЛАВНОЙ ЦЕРКВИ (МОСКОВСКИЙ ПАТРИАРХАТ) Шмидт Светланы Викторовны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</w:t>
      </w:r>
      <w:r w:rsidR="00793937">
        <w:rPr>
          <w:sz w:val="26"/>
          <w:szCs w:val="26"/>
        </w:rPr>
        <w:t>ями 39,</w:t>
      </w:r>
      <w:r w:rsidR="00655806" w:rsidRPr="000904E8">
        <w:rPr>
          <w:sz w:val="26"/>
          <w:szCs w:val="26"/>
        </w:rPr>
        <w:t xml:space="preserve">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</w:t>
      </w:r>
      <w:proofErr w:type="gramEnd"/>
      <w:r w:rsidR="009D3522" w:rsidRPr="000904E8">
        <w:rPr>
          <w:sz w:val="26"/>
          <w:szCs w:val="26"/>
        </w:rPr>
        <w:t xml:space="preserve">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22586E">
        <w:rPr>
          <w:sz w:val="26"/>
          <w:szCs w:val="26"/>
        </w:rPr>
        <w:t>2</w:t>
      </w:r>
      <w:r w:rsidR="00666ACF">
        <w:rPr>
          <w:sz w:val="26"/>
          <w:szCs w:val="26"/>
        </w:rPr>
        <w:t>7</w:t>
      </w:r>
      <w:r w:rsidR="00E57837" w:rsidRPr="000904E8">
        <w:rPr>
          <w:sz w:val="26"/>
          <w:szCs w:val="26"/>
        </w:rPr>
        <w:t xml:space="preserve"> </w:t>
      </w:r>
      <w:r w:rsidR="00EC0045">
        <w:rPr>
          <w:sz w:val="26"/>
          <w:szCs w:val="26"/>
        </w:rPr>
        <w:t>июня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521CD8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521CD8">
        <w:rPr>
          <w:sz w:val="26"/>
          <w:szCs w:val="26"/>
        </w:rPr>
        <w:t>3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793937" w:rsidRPr="00793937">
        <w:rPr>
          <w:sz w:val="26"/>
          <w:szCs w:val="26"/>
        </w:rPr>
        <w:t>Предоставление разрешения на условно разрешенный вид исп</w:t>
      </w:r>
      <w:r w:rsidR="003A504B">
        <w:rPr>
          <w:sz w:val="26"/>
          <w:szCs w:val="26"/>
        </w:rPr>
        <w:t>ользования земельного участка «</w:t>
      </w:r>
      <w:r w:rsidR="00793937" w:rsidRPr="00793937">
        <w:rPr>
          <w:sz w:val="26"/>
          <w:szCs w:val="26"/>
        </w:rPr>
        <w:t xml:space="preserve">наземный гараж» и на отклонение от предельных параметров разрешенного строительства для земельного участка с кадастровым номером 38:28:010416:36, расположенного: Иркутская область, г. Саянск, микрорайон 6а, улица </w:t>
      </w:r>
      <w:proofErr w:type="spellStart"/>
      <w:r w:rsidR="00793937" w:rsidRPr="00793937">
        <w:rPr>
          <w:sz w:val="26"/>
          <w:szCs w:val="26"/>
        </w:rPr>
        <w:t>Дворовкина</w:t>
      </w:r>
      <w:proofErr w:type="spellEnd"/>
      <w:r w:rsidR="00793937" w:rsidRPr="00793937">
        <w:rPr>
          <w:sz w:val="26"/>
          <w:szCs w:val="26"/>
        </w:rPr>
        <w:t>, в 200 метрах южнее Ленинградского проспекта с изменением: предельного минимального размера земельного участка, минимального отступа от границ смежного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8E1A1E">
        <w:rPr>
          <w:sz w:val="26"/>
          <w:szCs w:val="26"/>
        </w:rPr>
        <w:t>О</w:t>
      </w:r>
      <w:r w:rsidR="009D3522" w:rsidRPr="000904E8">
        <w:rPr>
          <w:sz w:val="26"/>
          <w:szCs w:val="26"/>
        </w:rPr>
        <w:t>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</w:t>
      </w:r>
      <w:r w:rsidR="008E1A1E">
        <w:rPr>
          <w:sz w:val="26"/>
          <w:szCs w:val="26"/>
        </w:rPr>
        <w:t>О</w:t>
      </w:r>
      <w:r w:rsidR="009D3522" w:rsidRPr="000904E8">
        <w:rPr>
          <w:sz w:val="26"/>
          <w:szCs w:val="26"/>
        </w:rPr>
        <w:t>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5F4301">
        <w:rPr>
          <w:sz w:val="26"/>
          <w:szCs w:val="26"/>
        </w:rPr>
        <w:t>О</w:t>
      </w:r>
      <w:r w:rsidR="009D3522" w:rsidRPr="000904E8">
        <w:rPr>
          <w:sz w:val="26"/>
          <w:szCs w:val="26"/>
        </w:rPr>
        <w:t xml:space="preserve">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0F4D95">
        <w:rPr>
          <w:sz w:val="26"/>
          <w:szCs w:val="26"/>
        </w:rPr>
        <w:t>С</w:t>
      </w:r>
      <w:r w:rsidR="00B47D91" w:rsidRPr="000904E8">
        <w:rPr>
          <w:sz w:val="26"/>
          <w:szCs w:val="26"/>
        </w:rPr>
        <w:t xml:space="preserve">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 xml:space="preserve">аянск, микрорайон Олимпийский, № 30, кабинеты 521, 522 и 426 не позднее, чем до 13.00 местного времени </w:t>
      </w:r>
      <w:r w:rsidR="00FE5527">
        <w:rPr>
          <w:sz w:val="26"/>
          <w:szCs w:val="26"/>
        </w:rPr>
        <w:t>2</w:t>
      </w:r>
      <w:r w:rsidR="007F6A99">
        <w:rPr>
          <w:sz w:val="26"/>
          <w:szCs w:val="26"/>
        </w:rPr>
        <w:t>7</w:t>
      </w:r>
      <w:r w:rsidR="00B47D91" w:rsidRPr="000904E8">
        <w:rPr>
          <w:sz w:val="26"/>
          <w:szCs w:val="26"/>
        </w:rPr>
        <w:t xml:space="preserve"> </w:t>
      </w:r>
      <w:r w:rsidR="00D10C53">
        <w:rPr>
          <w:sz w:val="26"/>
          <w:szCs w:val="26"/>
        </w:rPr>
        <w:t>июня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201C5B">
        <w:rPr>
          <w:sz w:val="26"/>
          <w:szCs w:val="26"/>
        </w:rPr>
        <w:t>П</w:t>
      </w:r>
      <w:r w:rsidR="009D3522" w:rsidRPr="000904E8">
        <w:rPr>
          <w:sz w:val="26"/>
          <w:szCs w:val="26"/>
        </w:rPr>
        <w:t>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BA5C21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 w:rsidR="00135EC7"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BA5C21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56190" w:rsidRDefault="008A12BF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8A12BF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8A12BF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110-37-685-16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8A12BF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8A12BF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110-37-685-16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Default="00350DC7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 xml:space="preserve">эр </w:t>
      </w:r>
      <w:r>
        <w:rPr>
          <w:sz w:val="26"/>
          <w:szCs w:val="26"/>
        </w:rPr>
        <w:t>г</w:t>
      </w:r>
      <w:r w:rsidR="00D32695">
        <w:rPr>
          <w:sz w:val="26"/>
          <w:szCs w:val="26"/>
        </w:rPr>
        <w:t xml:space="preserve">ородского округа муниципального </w:t>
      </w:r>
    </w:p>
    <w:p w:rsidR="00D32695" w:rsidRDefault="00D32695" w:rsidP="00350DC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350DC7">
        <w:rPr>
          <w:sz w:val="26"/>
          <w:szCs w:val="26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8A12BF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A12BF" w:rsidRPr="00A90202" w:rsidTr="00A90202">
                              <w:tc>
                                <w:tcPr>
                                  <w:tcW w:w="312" w:type="dxa"/>
                                </w:tcPr>
                                <w:p w:rsidR="008A12BF" w:rsidRPr="00A90202" w:rsidRDefault="008A12BF" w:rsidP="002978A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0" w:colLast="3"/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A12BF" w:rsidRPr="00A90202" w:rsidRDefault="008A12BF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A12BF" w:rsidRPr="00A90202" w:rsidRDefault="008A12BF" w:rsidP="002978A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A12BF" w:rsidRPr="00DF0586" w:rsidRDefault="008A12BF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110-37-685-16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A12BF" w:rsidRPr="00A90202" w:rsidTr="00A90202">
                        <w:tc>
                          <w:tcPr>
                            <w:tcW w:w="312" w:type="dxa"/>
                          </w:tcPr>
                          <w:p w:rsidR="008A12BF" w:rsidRPr="00A90202" w:rsidRDefault="008A12BF" w:rsidP="002978A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0" w:colLast="3"/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A12BF" w:rsidRPr="00A90202" w:rsidRDefault="008A12BF" w:rsidP="002978A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A12BF" w:rsidRPr="00A90202" w:rsidRDefault="008A12BF" w:rsidP="002978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A12BF" w:rsidRPr="00DF0586" w:rsidRDefault="008A12BF" w:rsidP="002978A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110-37-685-16</w:t>
                            </w:r>
                          </w:p>
                        </w:tc>
                      </w:tr>
                      <w:bookmarkEnd w:id="1"/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>
              <w:rPr>
                <w:sz w:val="22"/>
                <w:szCs w:val="22"/>
              </w:rPr>
              <w:t>.0</w:t>
            </w:r>
            <w:r w:rsidR="00BD6015">
              <w:rPr>
                <w:sz w:val="22"/>
                <w:szCs w:val="22"/>
              </w:rPr>
              <w:t>6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34CEF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BC6">
              <w:rPr>
                <w:sz w:val="22"/>
                <w:szCs w:val="22"/>
              </w:rPr>
              <w:t>7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0E1D7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68506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685060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685060">
        <w:rPr>
          <w:sz w:val="26"/>
          <w:szCs w:val="26"/>
        </w:rPr>
        <w:t>О.В. Боровский</w:t>
      </w:r>
    </w:p>
    <w:p w:rsidR="003A372D" w:rsidRDefault="003A372D" w:rsidP="00D32695">
      <w:pPr>
        <w:tabs>
          <w:tab w:val="left" w:pos="7655"/>
        </w:tabs>
        <w:rPr>
          <w:sz w:val="18"/>
          <w:szCs w:val="26"/>
        </w:rPr>
      </w:pPr>
    </w:p>
    <w:p w:rsidR="003A372D" w:rsidRDefault="003A372D" w:rsidP="00D32695">
      <w:pPr>
        <w:tabs>
          <w:tab w:val="left" w:pos="7655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E1D75"/>
    <w:rsid w:val="000E692D"/>
    <w:rsid w:val="000F4D95"/>
    <w:rsid w:val="00102BC6"/>
    <w:rsid w:val="00111E3F"/>
    <w:rsid w:val="0012751E"/>
    <w:rsid w:val="00130B98"/>
    <w:rsid w:val="00135EC7"/>
    <w:rsid w:val="00137672"/>
    <w:rsid w:val="00143FA2"/>
    <w:rsid w:val="00146FB7"/>
    <w:rsid w:val="00147FE8"/>
    <w:rsid w:val="0015654B"/>
    <w:rsid w:val="00183CFE"/>
    <w:rsid w:val="001964FB"/>
    <w:rsid w:val="00197289"/>
    <w:rsid w:val="001A6B91"/>
    <w:rsid w:val="001C34F2"/>
    <w:rsid w:val="001E78A2"/>
    <w:rsid w:val="00201C5B"/>
    <w:rsid w:val="002062B9"/>
    <w:rsid w:val="002070BA"/>
    <w:rsid w:val="00211EE6"/>
    <w:rsid w:val="0022586E"/>
    <w:rsid w:val="00226300"/>
    <w:rsid w:val="0023583C"/>
    <w:rsid w:val="0028698A"/>
    <w:rsid w:val="00287EF1"/>
    <w:rsid w:val="00292B44"/>
    <w:rsid w:val="00296A42"/>
    <w:rsid w:val="002A6BC3"/>
    <w:rsid w:val="002B4F2B"/>
    <w:rsid w:val="002C2502"/>
    <w:rsid w:val="002C3D15"/>
    <w:rsid w:val="002C4AE2"/>
    <w:rsid w:val="002C5342"/>
    <w:rsid w:val="002D3C7C"/>
    <w:rsid w:val="002D68E7"/>
    <w:rsid w:val="002E5F9C"/>
    <w:rsid w:val="002F2D00"/>
    <w:rsid w:val="002F6BB1"/>
    <w:rsid w:val="003075C3"/>
    <w:rsid w:val="0031339E"/>
    <w:rsid w:val="003233E6"/>
    <w:rsid w:val="00350DC7"/>
    <w:rsid w:val="00351EDC"/>
    <w:rsid w:val="00356376"/>
    <w:rsid w:val="003655E7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645"/>
    <w:rsid w:val="003F5995"/>
    <w:rsid w:val="00405DF5"/>
    <w:rsid w:val="00407B20"/>
    <w:rsid w:val="00417375"/>
    <w:rsid w:val="00421161"/>
    <w:rsid w:val="00436806"/>
    <w:rsid w:val="00474D25"/>
    <w:rsid w:val="00481BEC"/>
    <w:rsid w:val="004A2829"/>
    <w:rsid w:val="004A70D3"/>
    <w:rsid w:val="004B404E"/>
    <w:rsid w:val="004C0544"/>
    <w:rsid w:val="004C4295"/>
    <w:rsid w:val="004D6A78"/>
    <w:rsid w:val="004D7A06"/>
    <w:rsid w:val="004D7CA2"/>
    <w:rsid w:val="004E1AD9"/>
    <w:rsid w:val="004F1BDA"/>
    <w:rsid w:val="00507BE2"/>
    <w:rsid w:val="00521CD8"/>
    <w:rsid w:val="0052269F"/>
    <w:rsid w:val="005370AE"/>
    <w:rsid w:val="00544FA7"/>
    <w:rsid w:val="0055340E"/>
    <w:rsid w:val="00560A6C"/>
    <w:rsid w:val="005712E2"/>
    <w:rsid w:val="00595B73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E718B"/>
    <w:rsid w:val="006F4FFC"/>
    <w:rsid w:val="00702D40"/>
    <w:rsid w:val="00710D2E"/>
    <w:rsid w:val="00722D74"/>
    <w:rsid w:val="00722E28"/>
    <w:rsid w:val="00744B8B"/>
    <w:rsid w:val="00746E06"/>
    <w:rsid w:val="0075003A"/>
    <w:rsid w:val="00750E98"/>
    <w:rsid w:val="00786D3E"/>
    <w:rsid w:val="00793937"/>
    <w:rsid w:val="007A10D4"/>
    <w:rsid w:val="007A699E"/>
    <w:rsid w:val="007A6CDF"/>
    <w:rsid w:val="007C4B3F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7A2F"/>
    <w:rsid w:val="0086384F"/>
    <w:rsid w:val="008702A2"/>
    <w:rsid w:val="008708CF"/>
    <w:rsid w:val="008726AC"/>
    <w:rsid w:val="00880D7C"/>
    <w:rsid w:val="00890F06"/>
    <w:rsid w:val="008A12BF"/>
    <w:rsid w:val="008A1767"/>
    <w:rsid w:val="008A48F1"/>
    <w:rsid w:val="008A7860"/>
    <w:rsid w:val="008B121F"/>
    <w:rsid w:val="008B1A5C"/>
    <w:rsid w:val="008B6048"/>
    <w:rsid w:val="008B6924"/>
    <w:rsid w:val="008C5C23"/>
    <w:rsid w:val="008E1A1E"/>
    <w:rsid w:val="008F0BDC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972C9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4331"/>
    <w:rsid w:val="00A75CD8"/>
    <w:rsid w:val="00A807CF"/>
    <w:rsid w:val="00A837EB"/>
    <w:rsid w:val="00A83E7A"/>
    <w:rsid w:val="00A90474"/>
    <w:rsid w:val="00A91940"/>
    <w:rsid w:val="00A9581D"/>
    <w:rsid w:val="00A96076"/>
    <w:rsid w:val="00AA09A0"/>
    <w:rsid w:val="00AA3B79"/>
    <w:rsid w:val="00AA56EC"/>
    <w:rsid w:val="00AA782D"/>
    <w:rsid w:val="00AB380F"/>
    <w:rsid w:val="00AB451F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23ED8"/>
    <w:rsid w:val="00B2478C"/>
    <w:rsid w:val="00B37600"/>
    <w:rsid w:val="00B47D91"/>
    <w:rsid w:val="00B56453"/>
    <w:rsid w:val="00B62395"/>
    <w:rsid w:val="00B77C42"/>
    <w:rsid w:val="00B939CE"/>
    <w:rsid w:val="00BA2534"/>
    <w:rsid w:val="00BA361E"/>
    <w:rsid w:val="00BA5C21"/>
    <w:rsid w:val="00BA66C8"/>
    <w:rsid w:val="00BB4A40"/>
    <w:rsid w:val="00BD6015"/>
    <w:rsid w:val="00BE3B8C"/>
    <w:rsid w:val="00BF4C05"/>
    <w:rsid w:val="00BF74FE"/>
    <w:rsid w:val="00BF7F32"/>
    <w:rsid w:val="00C01A55"/>
    <w:rsid w:val="00C02AB9"/>
    <w:rsid w:val="00C0640E"/>
    <w:rsid w:val="00C07734"/>
    <w:rsid w:val="00C07911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93AA9"/>
    <w:rsid w:val="00C95512"/>
    <w:rsid w:val="00CA53E6"/>
    <w:rsid w:val="00CB0803"/>
    <w:rsid w:val="00CB15F6"/>
    <w:rsid w:val="00CC07E0"/>
    <w:rsid w:val="00CF42C0"/>
    <w:rsid w:val="00CF5C25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2D35"/>
    <w:rsid w:val="00E96CAC"/>
    <w:rsid w:val="00EA276D"/>
    <w:rsid w:val="00EA3881"/>
    <w:rsid w:val="00EA53C2"/>
    <w:rsid w:val="00EA5DDB"/>
    <w:rsid w:val="00EC0045"/>
    <w:rsid w:val="00EC1186"/>
    <w:rsid w:val="00EE57FF"/>
    <w:rsid w:val="00EF55DE"/>
    <w:rsid w:val="00F020B2"/>
    <w:rsid w:val="00F12552"/>
    <w:rsid w:val="00F13DE9"/>
    <w:rsid w:val="00F14B8D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2016-06-16T02:26:00Z</cp:lastPrinted>
  <dcterms:created xsi:type="dcterms:W3CDTF">2016-06-17T06:32:00Z</dcterms:created>
  <dcterms:modified xsi:type="dcterms:W3CDTF">2016-06-17T06:32:00Z</dcterms:modified>
</cp:coreProperties>
</file>