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A5" w:rsidRPr="005135A5" w:rsidRDefault="005135A5" w:rsidP="005135A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8404BD" w:rsidRDefault="008404BD" w:rsidP="008404BD">
      <w:pPr>
        <w:rPr>
          <w:rFonts w:ascii="Arial" w:hAnsi="Arial" w:cs="Arial"/>
          <w:color w:val="405965"/>
        </w:rPr>
      </w:pPr>
      <w:hyperlink r:id="rId5" w:history="1">
        <w:r>
          <w:rPr>
            <w:rStyle w:val="a4"/>
            <w:rFonts w:ascii="Arial" w:hAnsi="Arial" w:cs="Arial"/>
            <w:color w:val="0066B3"/>
          </w:rPr>
          <w:t>Главная страница</w:t>
        </w:r>
      </w:hyperlink>
      <w:r>
        <w:rPr>
          <w:rFonts w:ascii="Arial" w:hAnsi="Arial" w:cs="Arial"/>
          <w:color w:val="405965"/>
        </w:rPr>
        <w:t> </w:t>
      </w:r>
      <w:hyperlink r:id="rId6" w:history="1">
        <w:r>
          <w:rPr>
            <w:rStyle w:val="a4"/>
            <w:rFonts w:ascii="Arial" w:hAnsi="Arial" w:cs="Arial"/>
            <w:color w:val="0066B3"/>
          </w:rPr>
          <w:t>Новости</w:t>
        </w:r>
      </w:hyperlink>
      <w:r>
        <w:rPr>
          <w:rFonts w:ascii="Arial" w:hAnsi="Arial" w:cs="Arial"/>
          <w:color w:val="405965"/>
        </w:rPr>
        <w:t> Деятельность ФНС России</w:t>
      </w:r>
    </w:p>
    <w:p w:rsidR="008404BD" w:rsidRPr="008404BD" w:rsidRDefault="008404BD" w:rsidP="008404BD">
      <w:pPr>
        <w:pStyle w:val="1"/>
        <w:spacing w:before="0" w:beforeAutospacing="0" w:after="300" w:afterAutospacing="0"/>
        <w:jc w:val="both"/>
        <w:rPr>
          <w:b w:val="0"/>
          <w:bCs w:val="0"/>
          <w:color w:val="405965"/>
          <w:sz w:val="26"/>
          <w:szCs w:val="26"/>
        </w:rPr>
      </w:pPr>
      <w:bookmarkStart w:id="0" w:name="_GoBack"/>
      <w:r w:rsidRPr="008404BD">
        <w:rPr>
          <w:b w:val="0"/>
          <w:bCs w:val="0"/>
          <w:color w:val="405965"/>
          <w:sz w:val="26"/>
          <w:szCs w:val="26"/>
        </w:rPr>
        <w:t>Как получить вычет НДФЛ по расходам на приобретение лекарств</w:t>
      </w:r>
    </w:p>
    <w:bookmarkEnd w:id="0"/>
    <w:p w:rsidR="008404BD" w:rsidRPr="008404BD" w:rsidRDefault="008404BD" w:rsidP="008404BD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8404BD">
        <w:rPr>
          <w:color w:val="405965"/>
          <w:sz w:val="26"/>
          <w:szCs w:val="26"/>
        </w:rPr>
        <w:t>Налогоплательщики </w:t>
      </w:r>
      <w:hyperlink r:id="rId7" w:anchor="p_12540" w:tgtFrame="_blank" w:history="1">
        <w:r w:rsidRPr="008404BD">
          <w:rPr>
            <w:rStyle w:val="a4"/>
            <w:color w:val="0066B3"/>
            <w:sz w:val="26"/>
            <w:szCs w:val="26"/>
          </w:rPr>
          <w:t>могут получить</w:t>
        </w:r>
      </w:hyperlink>
      <w:r w:rsidRPr="008404BD">
        <w:rPr>
          <w:color w:val="405965"/>
          <w:sz w:val="26"/>
          <w:szCs w:val="26"/>
        </w:rPr>
        <w:t> социальный вычет по НДФЛ в размере стоимости лекарств, которые были назначены им лечащим врачом и приобретены за счет собственных средств. Указанный вычет распространяется также на приобретение лека</w:t>
      </w:r>
      <w:proofErr w:type="gramStart"/>
      <w:r w:rsidRPr="008404BD">
        <w:rPr>
          <w:color w:val="405965"/>
          <w:sz w:val="26"/>
          <w:szCs w:val="26"/>
        </w:rPr>
        <w:t>рств дл</w:t>
      </w:r>
      <w:proofErr w:type="gramEnd"/>
      <w:r w:rsidRPr="008404BD">
        <w:rPr>
          <w:color w:val="405965"/>
          <w:sz w:val="26"/>
          <w:szCs w:val="26"/>
        </w:rPr>
        <w:t>я их супругов, родителей, детей и подопечных в возрасте до 18 лет.</w:t>
      </w:r>
    </w:p>
    <w:p w:rsidR="008404BD" w:rsidRPr="008404BD" w:rsidRDefault="008404BD" w:rsidP="008404BD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8404BD">
        <w:rPr>
          <w:color w:val="405965"/>
          <w:sz w:val="26"/>
          <w:szCs w:val="26"/>
        </w:rPr>
        <w:t>Для получения социального налогового вычета налогоплательщик может представить любые документы, оформленные в соответствии с российским законодательством и подтверждающие приобретение им назначенных препаратов. Например, это может быть бумажный рецептурный бланк либо сведения из медкарты или иной медицинской документации пациента. К ним следует </w:t>
      </w:r>
      <w:hyperlink r:id="rId8" w:tgtFrame="_blank" w:history="1">
        <w:r w:rsidRPr="008404BD">
          <w:rPr>
            <w:rStyle w:val="a4"/>
            <w:color w:val="0066B3"/>
            <w:sz w:val="26"/>
            <w:szCs w:val="26"/>
          </w:rPr>
          <w:t>приложить</w:t>
        </w:r>
      </w:hyperlink>
      <w:r w:rsidRPr="008404BD">
        <w:rPr>
          <w:color w:val="405965"/>
          <w:sz w:val="26"/>
          <w:szCs w:val="26"/>
        </w:rPr>
        <w:t> чек из аптеки, отпустившей лекарство.</w:t>
      </w:r>
    </w:p>
    <w:p w:rsidR="008404BD" w:rsidRPr="008404BD" w:rsidRDefault="008404BD" w:rsidP="008404BD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8404BD">
        <w:rPr>
          <w:color w:val="405965"/>
          <w:sz w:val="26"/>
          <w:szCs w:val="26"/>
        </w:rPr>
        <w:t>Напоминаем, что исчерпывающий перечень медицинских документов и порядка их заполнения утвержден </w:t>
      </w:r>
      <w:hyperlink r:id="rId9" w:tgtFrame="_blank" w:history="1">
        <w:r w:rsidRPr="008404BD">
          <w:rPr>
            <w:rStyle w:val="a4"/>
            <w:color w:val="0066B3"/>
            <w:sz w:val="26"/>
            <w:szCs w:val="26"/>
          </w:rPr>
          <w:t>приказом Минздрава России от 15.12.2014 № 834н</w:t>
        </w:r>
      </w:hyperlink>
      <w:r w:rsidRPr="008404BD">
        <w:rPr>
          <w:color w:val="405965"/>
          <w:sz w:val="26"/>
          <w:szCs w:val="26"/>
        </w:rPr>
        <w:t>.</w:t>
      </w:r>
    </w:p>
    <w:p w:rsidR="009C1701" w:rsidRPr="005135A5" w:rsidRDefault="009C1701" w:rsidP="005135A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9C1701" w:rsidRPr="0051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269D9"/>
    <w:rsid w:val="005135A5"/>
    <w:rsid w:val="008404BD"/>
    <w:rsid w:val="009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5085/5481bcd09f17d8181029484c2a6f7b18e5c5e8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2c2d4c47652499da777b2c19de85035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gov.ru/rn7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8773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2025-08-01T07:23:00Z</dcterms:created>
  <dcterms:modified xsi:type="dcterms:W3CDTF">2025-08-01T07:23:00Z</dcterms:modified>
</cp:coreProperties>
</file>