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51" w:rsidRPr="00866904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bookmarkStart w:id="0" w:name="_GoBack"/>
      <w:r w:rsidRPr="00866904">
        <w:rPr>
          <w:b/>
          <w:sz w:val="28"/>
          <w:szCs w:val="28"/>
          <w:u w:val="single"/>
        </w:rPr>
        <w:t>Почему в 2025 году изменились суммы налогов на имущество</w:t>
      </w:r>
      <w:bookmarkEnd w:id="0"/>
      <w:r w:rsidRPr="00866904">
        <w:rPr>
          <w:b/>
          <w:sz w:val="28"/>
          <w:szCs w:val="28"/>
          <w:u w:val="single"/>
        </w:rPr>
        <w:t xml:space="preserve"> </w:t>
      </w:r>
    </w:p>
    <w:p w:rsidR="00663051" w:rsidRPr="00866904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Поскольку расчет налогов проводится исходя из налоговых ставок, льгот и налоговой базы, определяемой на региональном и муниципальном уровне, причины изменения величины налогов в конкретной ситуации можно уточнить в налоговом органе или обратившись в контакт-центр ФНС России (тел. 8 800 – 222-22-22). Существуют и общие основания для изменения налоговой нагрузки. </w:t>
      </w:r>
    </w:p>
    <w:p w:rsidR="00663051" w:rsidRPr="00866904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Транспортный налог. </w:t>
      </w:r>
    </w:p>
    <w:p w:rsidR="00663051" w:rsidRPr="00866904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Рост налога может обуславливаться следующими причинами: </w:t>
      </w:r>
    </w:p>
    <w:p w:rsidR="00663051" w:rsidRPr="00866904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1) изменение налоговых ставок и (или) отмена льгот, </w:t>
      </w:r>
      <w:proofErr w:type="gramStart"/>
      <w:r w:rsidRPr="00866904">
        <w:rPr>
          <w:sz w:val="28"/>
          <w:szCs w:val="28"/>
        </w:rPr>
        <w:t>полномочия</w:t>
      </w:r>
      <w:proofErr w:type="gramEnd"/>
      <w:r w:rsidRPr="00866904">
        <w:rPr>
          <w:sz w:val="28"/>
          <w:szCs w:val="28"/>
        </w:rPr>
        <w:t xml:space="preserve"> по установлению которых относятся к компетенции субъектов РФ.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5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 xml:space="preserve">); </w:t>
      </w:r>
    </w:p>
    <w:p w:rsidR="00663051" w:rsidRPr="00866904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2) применение повышающих коэффициентов при расчете налога за легковые автомашины средней стоимостью от 10 млн. руб. согласно размещённому на сайте </w:t>
      </w:r>
      <w:proofErr w:type="spellStart"/>
      <w:r w:rsidRPr="00866904">
        <w:rPr>
          <w:sz w:val="28"/>
          <w:szCs w:val="28"/>
        </w:rPr>
        <w:t>Минпромторга</w:t>
      </w:r>
      <w:proofErr w:type="spellEnd"/>
      <w:r w:rsidRPr="00866904">
        <w:rPr>
          <w:sz w:val="28"/>
          <w:szCs w:val="28"/>
        </w:rPr>
        <w:t xml:space="preserve"> России Перечню легковых автомобилей средней стоимостью от 10 миллионов рублей для налогового периода 2024 года; </w:t>
      </w:r>
    </w:p>
    <w:p w:rsidR="00663051" w:rsidRPr="00663051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3) наличие иных оснований (например, в результате утраты права на применение льготы, поступления уточненных сведений от органов, осуществляющих государственную регистрацию транспортных средств, и т.п.).</w:t>
      </w:r>
      <w:r>
        <w:rPr>
          <w:sz w:val="28"/>
          <w:szCs w:val="28"/>
        </w:rPr>
        <w:t xml:space="preserve"> </w:t>
      </w:r>
    </w:p>
    <w:p w:rsidR="00663051" w:rsidRPr="00866904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Земельный налог. </w:t>
      </w:r>
    </w:p>
    <w:p w:rsidR="00663051" w:rsidRPr="00866904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Рост налога может обуславливаться следующими причинами: </w:t>
      </w:r>
    </w:p>
    <w:p w:rsidR="00663051" w:rsidRPr="00866904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1) изменение налоговых ставок и (или) отмена льгот, </w:t>
      </w:r>
      <w:proofErr w:type="gramStart"/>
      <w:r w:rsidRPr="00866904">
        <w:rPr>
          <w:sz w:val="28"/>
          <w:szCs w:val="28"/>
        </w:rPr>
        <w:t>полномочия</w:t>
      </w:r>
      <w:proofErr w:type="gramEnd"/>
      <w:r w:rsidRPr="00866904">
        <w:rPr>
          <w:sz w:val="28"/>
          <w:szCs w:val="28"/>
        </w:rPr>
        <w:t xml:space="preserve"> по установлению которых относятся к компетенции представительных органов муниципальных образований.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6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>);</w:t>
      </w:r>
    </w:p>
    <w:p w:rsidR="00663051" w:rsidRPr="00866904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2) применением в качестве налоговой базы новой кадастровой стоимости земельных участков, определенной в результате тура государственной кадастровой оценки земель, проведенного в 2022 году и вступившего в силу для целей налогообложения в полном объеме с 01.01.2024 (пункт 18 статьи 2 Федерального закона от 26.03.2022 № 67-ФЗ); </w:t>
      </w:r>
    </w:p>
    <w:p w:rsidR="00663051" w:rsidRPr="00866904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snapToGrid/>
          <w:sz w:val="28"/>
          <w:szCs w:val="28"/>
        </w:rPr>
      </w:pPr>
      <w:r w:rsidRPr="00866904">
        <w:rPr>
          <w:sz w:val="28"/>
          <w:szCs w:val="28"/>
        </w:rPr>
        <w:t xml:space="preserve">3) изменением кадастровой стоимости земельного участка в течение 2024 года, например, вследствие изменения характеристик земельного участка </w:t>
      </w:r>
      <w:r w:rsidRPr="00866904">
        <w:rPr>
          <w:snapToGrid/>
          <w:sz w:val="28"/>
          <w:szCs w:val="28"/>
        </w:rPr>
        <w:t>(вида разрешенного использования, категории земель, площади);</w:t>
      </w:r>
    </w:p>
    <w:p w:rsidR="00663051" w:rsidRPr="00866904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lastRenderedPageBreak/>
        <w:t xml:space="preserve">4) наличием иных оснований (например, в результате перерасчета налога, утраты права на применение льготы, поступления уточненных сведений от органов </w:t>
      </w:r>
      <w:proofErr w:type="spellStart"/>
      <w:r w:rsidRPr="00866904">
        <w:rPr>
          <w:sz w:val="28"/>
          <w:szCs w:val="28"/>
        </w:rPr>
        <w:t>Росреестра</w:t>
      </w:r>
      <w:proofErr w:type="spellEnd"/>
      <w:r w:rsidRPr="00866904">
        <w:rPr>
          <w:sz w:val="28"/>
          <w:szCs w:val="28"/>
        </w:rPr>
        <w:t xml:space="preserve"> и т.п.). </w:t>
      </w:r>
    </w:p>
    <w:p w:rsidR="00663051" w:rsidRPr="00866904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Налог на имущество физических лиц. </w:t>
      </w:r>
    </w:p>
    <w:p w:rsidR="00663051" w:rsidRPr="00866904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Рост налога может обуславливаться следующими причинами: </w:t>
      </w:r>
    </w:p>
    <w:p w:rsidR="00663051" w:rsidRPr="00866904" w:rsidRDefault="00663051" w:rsidP="00663051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1) применением в качестве налоговой базы новой кадастровой стоимости объектов недвижимости, определенной в результате тура государственной кадастровой оценки, проведенного в 2023 году и вступившего в силу для целей налогообложения с 01.01.2024 (часть 6 статьи 6 Федерального закона от 31.07.2020 № 269-ФЗ); </w:t>
      </w:r>
    </w:p>
    <w:p w:rsidR="00AF456A" w:rsidRDefault="00663051" w:rsidP="00663051">
      <w:r w:rsidRPr="00866904">
        <w:rPr>
          <w:sz w:val="28"/>
          <w:szCs w:val="28"/>
        </w:rPr>
        <w:t xml:space="preserve">2) изменением налоговых ставок или отменой льгот, </w:t>
      </w:r>
      <w:proofErr w:type="gramStart"/>
      <w:r w:rsidRPr="00866904">
        <w:rPr>
          <w:sz w:val="28"/>
          <w:szCs w:val="28"/>
        </w:rPr>
        <w:t>полномочия</w:t>
      </w:r>
      <w:proofErr w:type="gramEnd"/>
      <w:r w:rsidRPr="00866904">
        <w:rPr>
          <w:sz w:val="28"/>
          <w:szCs w:val="28"/>
        </w:rPr>
        <w:t xml:space="preserve"> по установлению которых относятся к компетенции представительных органов муниципальных образований (городов федерального значения).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7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>).</w:t>
      </w:r>
    </w:p>
    <w:sectPr w:rsidR="00AF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7C"/>
    <w:rsid w:val="000C1E39"/>
    <w:rsid w:val="003F32FC"/>
    <w:rsid w:val="00663051"/>
    <w:rsid w:val="007C477C"/>
    <w:rsid w:val="00A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5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30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5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3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ru/rn38/service/tax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38/service/tax/" TargetMode="External"/><Relationship Id="rId5" Type="http://schemas.openxmlformats.org/officeDocument/2006/relationships/hyperlink" Target="https://www.nalog.ru/rn38/service/tax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Полевик Екатерина Петровна</dc:creator>
  <cp:keywords/>
  <dc:description/>
  <cp:lastModifiedBy>Полевик Екатерина Петровна</cp:lastModifiedBy>
  <cp:revision>2</cp:revision>
  <dcterms:created xsi:type="dcterms:W3CDTF">2025-10-13T00:54:00Z</dcterms:created>
  <dcterms:modified xsi:type="dcterms:W3CDTF">2025-10-13T00:55:00Z</dcterms:modified>
</cp:coreProperties>
</file>