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A5" w:rsidRPr="005135A5" w:rsidRDefault="005135A5" w:rsidP="005135A5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p w:rsidR="00481BAF" w:rsidRPr="00481BAF" w:rsidRDefault="00481BAF" w:rsidP="00481BAF">
      <w:pPr>
        <w:pStyle w:val="1"/>
        <w:spacing w:before="0" w:beforeAutospacing="0" w:after="300" w:afterAutospacing="0"/>
        <w:jc w:val="both"/>
        <w:rPr>
          <w:b w:val="0"/>
          <w:bCs w:val="0"/>
          <w:color w:val="405965"/>
          <w:sz w:val="26"/>
          <w:szCs w:val="26"/>
        </w:rPr>
      </w:pPr>
      <w:proofErr w:type="spellStart"/>
      <w:r w:rsidRPr="00481BAF">
        <w:rPr>
          <w:b w:val="0"/>
          <w:bCs w:val="0"/>
          <w:color w:val="405965"/>
          <w:sz w:val="26"/>
          <w:szCs w:val="26"/>
        </w:rPr>
        <w:t>Предпенсионерам</w:t>
      </w:r>
      <w:proofErr w:type="spellEnd"/>
      <w:r w:rsidRPr="00481BAF">
        <w:rPr>
          <w:b w:val="0"/>
          <w:bCs w:val="0"/>
          <w:color w:val="405965"/>
          <w:sz w:val="26"/>
          <w:szCs w:val="26"/>
        </w:rPr>
        <w:t xml:space="preserve"> </w:t>
      </w:r>
      <w:proofErr w:type="spellStart"/>
      <w:r w:rsidRPr="00481BAF">
        <w:rPr>
          <w:b w:val="0"/>
          <w:bCs w:val="0"/>
          <w:color w:val="405965"/>
          <w:sz w:val="26"/>
          <w:szCs w:val="26"/>
        </w:rPr>
        <w:t>проа</w:t>
      </w:r>
      <w:bookmarkStart w:id="0" w:name="_GoBack"/>
      <w:bookmarkEnd w:id="0"/>
      <w:r w:rsidRPr="00481BAF">
        <w:rPr>
          <w:b w:val="0"/>
          <w:bCs w:val="0"/>
          <w:color w:val="405965"/>
          <w:sz w:val="26"/>
          <w:szCs w:val="26"/>
        </w:rPr>
        <w:t>ктивно</w:t>
      </w:r>
      <w:proofErr w:type="spellEnd"/>
      <w:r w:rsidRPr="00481BAF">
        <w:rPr>
          <w:b w:val="0"/>
          <w:bCs w:val="0"/>
          <w:color w:val="405965"/>
          <w:sz w:val="26"/>
          <w:szCs w:val="26"/>
        </w:rPr>
        <w:t xml:space="preserve"> предоставляются льготы по налогам на недвижимое имущество</w:t>
      </w:r>
    </w:p>
    <w:p w:rsidR="00481BAF" w:rsidRPr="00481BAF" w:rsidRDefault="00481BAF" w:rsidP="00481BAF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6"/>
          <w:szCs w:val="26"/>
        </w:rPr>
      </w:pPr>
      <w:r w:rsidRPr="00481BAF">
        <w:rPr>
          <w:color w:val="405965"/>
          <w:sz w:val="26"/>
          <w:szCs w:val="26"/>
        </w:rPr>
        <w:t xml:space="preserve">Для </w:t>
      </w:r>
      <w:proofErr w:type="spellStart"/>
      <w:r w:rsidRPr="00481BAF">
        <w:rPr>
          <w:color w:val="405965"/>
          <w:sz w:val="26"/>
          <w:szCs w:val="26"/>
        </w:rPr>
        <w:t>предпенсионеров</w:t>
      </w:r>
      <w:proofErr w:type="spellEnd"/>
      <w:r w:rsidRPr="00481BAF">
        <w:rPr>
          <w:color w:val="405965"/>
          <w:sz w:val="26"/>
          <w:szCs w:val="26"/>
        </w:rPr>
        <w:t xml:space="preserve"> налоговая база по земельному налогу </w:t>
      </w:r>
      <w:hyperlink r:id="rId5" w:tgtFrame="_blank" w:history="1">
        <w:r w:rsidRPr="00481BAF">
          <w:rPr>
            <w:rStyle w:val="a4"/>
            <w:color w:val="0066B3"/>
            <w:sz w:val="26"/>
            <w:szCs w:val="26"/>
            <w:u w:val="none"/>
          </w:rPr>
          <w:t>уменьшается</w:t>
        </w:r>
      </w:hyperlink>
      <w:r w:rsidRPr="00481BAF">
        <w:rPr>
          <w:color w:val="405965"/>
          <w:sz w:val="26"/>
          <w:szCs w:val="26"/>
        </w:rPr>
        <w:t> на величину кадастровой стоимости 600 кв. м площади принадлежащего им участка. К таковым относятся лица, соответствующие условиям, необходимым для назначения пенсии исходя из законодательства РФ, действующего на 31 декабря 2018 года.</w:t>
      </w:r>
    </w:p>
    <w:p w:rsidR="00481BAF" w:rsidRPr="00481BAF" w:rsidRDefault="00481BAF" w:rsidP="00481BAF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6"/>
          <w:szCs w:val="26"/>
        </w:rPr>
      </w:pPr>
      <w:r w:rsidRPr="00481BAF">
        <w:rPr>
          <w:color w:val="405965"/>
          <w:sz w:val="26"/>
          <w:szCs w:val="26"/>
        </w:rPr>
        <w:t>Указанный вычет действует в отношении одного земельного </w:t>
      </w:r>
      <w:hyperlink r:id="rId6" w:anchor="block_3910601" w:tgtFrame="_blank" w:history="1">
        <w:r w:rsidRPr="00481BAF">
          <w:rPr>
            <w:rStyle w:val="a4"/>
            <w:color w:val="0066B3"/>
            <w:sz w:val="26"/>
            <w:szCs w:val="26"/>
            <w:u w:val="none"/>
          </w:rPr>
          <w:t>участка по выбору</w:t>
        </w:r>
      </w:hyperlink>
      <w:r w:rsidRPr="00481BAF">
        <w:rPr>
          <w:color w:val="405965"/>
          <w:sz w:val="26"/>
          <w:szCs w:val="26"/>
        </w:rPr>
        <w:t> налогоплательщика. При непредставлении лицом, имеющим право на вычет, уведомления о выбранном объекте налогообложения он </w:t>
      </w:r>
      <w:hyperlink r:id="rId7" w:anchor="block_3910601" w:tgtFrame="_blank" w:history="1">
        <w:r w:rsidRPr="00481BAF">
          <w:rPr>
            <w:rStyle w:val="a4"/>
            <w:color w:val="0066B3"/>
            <w:sz w:val="26"/>
            <w:szCs w:val="26"/>
            <w:u w:val="none"/>
          </w:rPr>
          <w:t>применяется</w:t>
        </w:r>
      </w:hyperlink>
      <w:r w:rsidRPr="00481BAF">
        <w:rPr>
          <w:color w:val="405965"/>
          <w:sz w:val="26"/>
          <w:szCs w:val="26"/>
        </w:rPr>
        <w:t> автоматически в отношении земельного участка с максимальной исчисленной суммой налога.</w:t>
      </w:r>
    </w:p>
    <w:p w:rsidR="00481BAF" w:rsidRPr="00481BAF" w:rsidRDefault="00481BAF" w:rsidP="00481BAF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6"/>
          <w:szCs w:val="26"/>
        </w:rPr>
      </w:pPr>
      <w:r w:rsidRPr="00481BAF">
        <w:rPr>
          <w:color w:val="405965"/>
          <w:sz w:val="26"/>
          <w:szCs w:val="26"/>
        </w:rPr>
        <w:t xml:space="preserve">Также для </w:t>
      </w:r>
      <w:proofErr w:type="spellStart"/>
      <w:r w:rsidRPr="00481BAF">
        <w:rPr>
          <w:color w:val="405965"/>
          <w:sz w:val="26"/>
          <w:szCs w:val="26"/>
        </w:rPr>
        <w:t>предпенсионеров</w:t>
      </w:r>
      <w:proofErr w:type="spellEnd"/>
      <w:r w:rsidRPr="00481BAF">
        <w:rPr>
          <w:color w:val="405965"/>
          <w:sz w:val="26"/>
          <w:szCs w:val="26"/>
        </w:rPr>
        <w:t xml:space="preserve"> действует льгота по налогу на имущество, </w:t>
      </w:r>
      <w:hyperlink r:id="rId8" w:tgtFrame="_blank" w:history="1">
        <w:r w:rsidRPr="00481BAF">
          <w:rPr>
            <w:rStyle w:val="a4"/>
            <w:color w:val="0066B3"/>
            <w:sz w:val="26"/>
            <w:szCs w:val="26"/>
            <w:u w:val="none"/>
          </w:rPr>
          <w:t>освобождающая</w:t>
        </w:r>
      </w:hyperlink>
      <w:r w:rsidRPr="00481BAF">
        <w:rPr>
          <w:color w:val="405965"/>
          <w:sz w:val="26"/>
          <w:szCs w:val="26"/>
        </w:rPr>
        <w:t xml:space="preserve"> от налогообложения один объект недвижимости каждого вида, неиспользуемый в предпринимательской деятельности. Например, квартира, жилой дом, садовый дом, гараж, </w:t>
      </w:r>
      <w:proofErr w:type="spellStart"/>
      <w:r w:rsidRPr="00481BAF">
        <w:rPr>
          <w:color w:val="405965"/>
          <w:sz w:val="26"/>
          <w:szCs w:val="26"/>
        </w:rPr>
        <w:t>хозпостройка</w:t>
      </w:r>
      <w:proofErr w:type="spellEnd"/>
      <w:r w:rsidRPr="00481BAF">
        <w:rPr>
          <w:color w:val="405965"/>
          <w:sz w:val="26"/>
          <w:szCs w:val="26"/>
        </w:rPr>
        <w:t xml:space="preserve"> до 50 кв. м.</w:t>
      </w:r>
    </w:p>
    <w:p w:rsidR="00481BAF" w:rsidRPr="00481BAF" w:rsidRDefault="00481BAF" w:rsidP="00481BAF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6"/>
          <w:szCs w:val="26"/>
        </w:rPr>
      </w:pPr>
      <w:r w:rsidRPr="00481BAF">
        <w:rPr>
          <w:color w:val="405965"/>
          <w:sz w:val="26"/>
          <w:szCs w:val="26"/>
        </w:rPr>
        <w:t>Если налогоплательщик не представил в налоговый орган </w:t>
      </w:r>
      <w:hyperlink r:id="rId9" w:anchor="block_40706" w:tgtFrame="_blank" w:history="1">
        <w:r w:rsidRPr="00481BAF">
          <w:rPr>
            <w:rStyle w:val="a4"/>
            <w:color w:val="0066B3"/>
            <w:sz w:val="26"/>
            <w:szCs w:val="26"/>
            <w:u w:val="none"/>
          </w:rPr>
          <w:t>заявление</w:t>
        </w:r>
      </w:hyperlink>
      <w:r w:rsidRPr="00481BAF">
        <w:rPr>
          <w:color w:val="405965"/>
          <w:sz w:val="26"/>
          <w:szCs w:val="26"/>
        </w:rPr>
        <w:t> о предоставлении льготы или не сообщил об отказе от её применения, она </w:t>
      </w:r>
      <w:hyperlink r:id="rId10" w:anchor="block_40706" w:tgtFrame="_blank" w:history="1">
        <w:r w:rsidRPr="00481BAF">
          <w:rPr>
            <w:rStyle w:val="a4"/>
            <w:color w:val="0066B3"/>
            <w:sz w:val="26"/>
            <w:szCs w:val="26"/>
            <w:u w:val="none"/>
          </w:rPr>
          <w:t>предоставляется</w:t>
        </w:r>
      </w:hyperlink>
      <w:r w:rsidRPr="00481BAF">
        <w:rPr>
          <w:color w:val="405965"/>
          <w:sz w:val="26"/>
          <w:szCs w:val="26"/>
        </w:rPr>
        <w:t> </w:t>
      </w:r>
      <w:proofErr w:type="spellStart"/>
      <w:r w:rsidRPr="00481BAF">
        <w:rPr>
          <w:color w:val="405965"/>
          <w:sz w:val="26"/>
          <w:szCs w:val="26"/>
        </w:rPr>
        <w:t>проактивно</w:t>
      </w:r>
      <w:proofErr w:type="spellEnd"/>
      <w:r w:rsidRPr="00481BAF">
        <w:rPr>
          <w:color w:val="405965"/>
          <w:sz w:val="26"/>
          <w:szCs w:val="26"/>
        </w:rPr>
        <w:t xml:space="preserve"> на основании сведений, полученных налоговым органом в соответствии с НК РФ и другими законами, начиная с периода, в котором у лица возникло это право. К таким сведениям относится информация о статусе </w:t>
      </w:r>
      <w:proofErr w:type="spellStart"/>
      <w:r w:rsidRPr="00481BAF">
        <w:rPr>
          <w:color w:val="405965"/>
          <w:sz w:val="26"/>
          <w:szCs w:val="26"/>
        </w:rPr>
        <w:t>предпенсионера</w:t>
      </w:r>
      <w:proofErr w:type="spellEnd"/>
      <w:r w:rsidRPr="00481BAF">
        <w:rPr>
          <w:color w:val="405965"/>
          <w:sz w:val="26"/>
          <w:szCs w:val="26"/>
        </w:rPr>
        <w:t>, регулярно </w:t>
      </w:r>
      <w:hyperlink r:id="rId11" w:anchor="block_85942" w:tgtFrame="_blank" w:history="1">
        <w:r w:rsidRPr="00481BAF">
          <w:rPr>
            <w:rStyle w:val="a4"/>
            <w:color w:val="0066B3"/>
            <w:sz w:val="26"/>
            <w:szCs w:val="26"/>
            <w:u w:val="none"/>
          </w:rPr>
          <w:t>передаваемая</w:t>
        </w:r>
      </w:hyperlink>
      <w:r w:rsidRPr="00481BAF">
        <w:rPr>
          <w:color w:val="405965"/>
          <w:sz w:val="26"/>
          <w:szCs w:val="26"/>
        </w:rPr>
        <w:t> из Социального фонда России в ФНС России.</w:t>
      </w:r>
    </w:p>
    <w:p w:rsidR="00481BAF" w:rsidRPr="00481BAF" w:rsidRDefault="00481BAF" w:rsidP="00481BAF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6"/>
          <w:szCs w:val="26"/>
        </w:rPr>
      </w:pPr>
      <w:r w:rsidRPr="00481BAF">
        <w:rPr>
          <w:color w:val="405965"/>
          <w:sz w:val="26"/>
          <w:szCs w:val="26"/>
        </w:rPr>
        <w:t>Дополнительные налоговые льготы могут устанавливаться нормативными актами представительных органов муниципальных образований по месту нахождения объектов недвижимости. С ними можно ознакомиться на сайте ФНС России, в разделе «</w:t>
      </w:r>
      <w:hyperlink r:id="rId12" w:tgtFrame="_blank" w:history="1">
        <w:r w:rsidRPr="00481BAF">
          <w:rPr>
            <w:rStyle w:val="a4"/>
            <w:color w:val="0066B3"/>
            <w:sz w:val="26"/>
            <w:szCs w:val="26"/>
            <w:u w:val="none"/>
          </w:rPr>
          <w:t>Справочная информация о ставках и льготах по имущественным налогам</w:t>
        </w:r>
      </w:hyperlink>
      <w:r w:rsidRPr="00481BAF">
        <w:rPr>
          <w:color w:val="405965"/>
          <w:sz w:val="26"/>
          <w:szCs w:val="26"/>
        </w:rPr>
        <w:t>».</w:t>
      </w:r>
    </w:p>
    <w:p w:rsidR="00481BAF" w:rsidRPr="00481BAF" w:rsidRDefault="00481BAF" w:rsidP="00481BAF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6"/>
          <w:szCs w:val="26"/>
        </w:rPr>
      </w:pPr>
      <w:r w:rsidRPr="00481BAF">
        <w:rPr>
          <w:color w:val="405965"/>
          <w:sz w:val="26"/>
          <w:szCs w:val="26"/>
        </w:rPr>
        <w:t xml:space="preserve">Особенности условий предоставления льгот по налогам на недвижимость для </w:t>
      </w:r>
      <w:proofErr w:type="spellStart"/>
      <w:r w:rsidRPr="00481BAF">
        <w:rPr>
          <w:color w:val="405965"/>
          <w:sz w:val="26"/>
          <w:szCs w:val="26"/>
        </w:rPr>
        <w:t>предпенсионеров</w:t>
      </w:r>
      <w:proofErr w:type="spellEnd"/>
      <w:r w:rsidRPr="00481BAF">
        <w:rPr>
          <w:color w:val="405965"/>
          <w:sz w:val="26"/>
          <w:szCs w:val="26"/>
        </w:rPr>
        <w:t>, являющихся государственными гражданскими служащими, </w:t>
      </w:r>
      <w:hyperlink r:id="rId13" w:tgtFrame="_blank" w:history="1">
        <w:r w:rsidRPr="00481BAF">
          <w:rPr>
            <w:rStyle w:val="a4"/>
            <w:color w:val="0066B3"/>
            <w:sz w:val="26"/>
            <w:szCs w:val="26"/>
            <w:u w:val="none"/>
          </w:rPr>
          <w:t>разъяснены</w:t>
        </w:r>
      </w:hyperlink>
      <w:r w:rsidRPr="00481BAF">
        <w:rPr>
          <w:color w:val="405965"/>
          <w:sz w:val="26"/>
          <w:szCs w:val="26"/>
        </w:rPr>
        <w:t> Минтрудом России и доведены до налоговых органов.</w:t>
      </w:r>
    </w:p>
    <w:p w:rsidR="009C1701" w:rsidRPr="005135A5" w:rsidRDefault="009C1701" w:rsidP="005135A5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9C1701" w:rsidRPr="0051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269D9"/>
    <w:rsid w:val="00481BAF"/>
    <w:rsid w:val="005135A5"/>
    <w:rsid w:val="008404BD"/>
    <w:rsid w:val="009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3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74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42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2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620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810310024" TargetMode="External"/><Relationship Id="rId13" Type="http://schemas.openxmlformats.org/officeDocument/2006/relationships/hyperlink" Target="https://www.nalog.gov.ru/rn77/about_fts/about_nalog/104676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log.garant.ru/fns/nk/5e8d85f184efe4d53f7674c8a4638260/" TargetMode="External"/><Relationship Id="rId12" Type="http://schemas.openxmlformats.org/officeDocument/2006/relationships/hyperlink" Target="https://www.nalog.gov.ru/rn77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log.garant.ru/fns/nk/5e8d85f184efe4d53f7674c8a4638260/" TargetMode="External"/><Relationship Id="rId11" Type="http://schemas.openxmlformats.org/officeDocument/2006/relationships/hyperlink" Target="https://nalog.garant.ru/fns/nk/4f1044cafcee58fdbc43ae8a2051b019/" TargetMode="External"/><Relationship Id="rId5" Type="http://schemas.openxmlformats.org/officeDocument/2006/relationships/hyperlink" Target="http://publication.pravo.gov.ru/Document/View/000120181031002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alog.garant.ru/fns/nk/9cd87e493d9fc9c9d85aab7e16da90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log.garant.ru/fns/nk/9cd87e493d9fc9c9d85aab7e16da903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2025-08-01T07:25:00Z</dcterms:created>
  <dcterms:modified xsi:type="dcterms:W3CDTF">2025-08-01T07:25:00Z</dcterms:modified>
</cp:coreProperties>
</file>