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000000" w14:textId="77777777" w:rsidR="00883445" w:rsidRDefault="00946D1F">
      <w:pPr>
        <w:jc w:val="center"/>
        <w:rPr>
          <w:b/>
          <w:sz w:val="24"/>
        </w:rPr>
      </w:pPr>
      <w:r>
        <w:rPr>
          <w:b/>
          <w:sz w:val="24"/>
        </w:rPr>
        <w:t>Информационное сообщение</w:t>
      </w:r>
    </w:p>
    <w:p w14:paraId="04000000" w14:textId="77777777" w:rsidR="00883445" w:rsidRDefault="00946D1F">
      <w:pPr>
        <w:jc w:val="center"/>
        <w:rPr>
          <w:b/>
          <w:sz w:val="24"/>
        </w:rPr>
      </w:pPr>
      <w:r>
        <w:rPr>
          <w:b/>
          <w:sz w:val="24"/>
        </w:rPr>
        <w:t>отдела работы с налогоплательщиками</w:t>
      </w:r>
    </w:p>
    <w:p w14:paraId="05000000" w14:textId="77777777" w:rsidR="00883445" w:rsidRDefault="00946D1F">
      <w:pPr>
        <w:jc w:val="center"/>
        <w:rPr>
          <w:b/>
          <w:sz w:val="24"/>
        </w:rPr>
      </w:pPr>
      <w:r>
        <w:rPr>
          <w:b/>
          <w:sz w:val="24"/>
        </w:rPr>
        <w:t>УФНС России по Иркутской области</w:t>
      </w:r>
    </w:p>
    <w:p w14:paraId="06000000" w14:textId="77777777" w:rsidR="00883445" w:rsidRDefault="00883445">
      <w:pPr>
        <w:jc w:val="center"/>
        <w:rPr>
          <w:b/>
          <w:sz w:val="24"/>
        </w:rPr>
      </w:pPr>
    </w:p>
    <w:p w14:paraId="07000000" w14:textId="77777777" w:rsidR="00883445" w:rsidRDefault="00946D1F">
      <w:pPr>
        <w:jc w:val="both"/>
        <w:rPr>
          <w:b/>
          <w:sz w:val="24"/>
        </w:rPr>
      </w:pPr>
      <w:proofErr w:type="spellStart"/>
      <w:r>
        <w:rPr>
          <w:b/>
          <w:sz w:val="24"/>
        </w:rPr>
        <w:t>АвтоУСН</w:t>
      </w:r>
      <w:proofErr w:type="spellEnd"/>
      <w:r>
        <w:rPr>
          <w:b/>
          <w:sz w:val="24"/>
        </w:rPr>
        <w:t xml:space="preserve"> уже </w:t>
      </w:r>
      <w:proofErr w:type="gramStart"/>
      <w:r>
        <w:rPr>
          <w:b/>
          <w:sz w:val="24"/>
        </w:rPr>
        <w:t>доступен</w:t>
      </w:r>
      <w:proofErr w:type="gramEnd"/>
      <w:r>
        <w:rPr>
          <w:b/>
          <w:sz w:val="24"/>
        </w:rPr>
        <w:t xml:space="preserve"> налогоплательщикам 58 регионов</w:t>
      </w:r>
    </w:p>
    <w:p w14:paraId="08000000" w14:textId="77777777" w:rsidR="00883445" w:rsidRDefault="00883445">
      <w:pPr>
        <w:ind w:firstLine="709"/>
        <w:jc w:val="both"/>
        <w:rPr>
          <w:b/>
          <w:sz w:val="24"/>
        </w:rPr>
      </w:pPr>
    </w:p>
    <w:p w14:paraId="09000000" w14:textId="77777777" w:rsidR="00883445" w:rsidRDefault="00946D1F">
      <w:pPr>
        <w:jc w:val="both"/>
        <w:rPr>
          <w:sz w:val="24"/>
        </w:rPr>
      </w:pPr>
      <w:r>
        <w:rPr>
          <w:sz w:val="24"/>
        </w:rPr>
        <w:t xml:space="preserve">Более 22,7 тысяч предпринимателей уже применяют </w:t>
      </w:r>
      <w:proofErr w:type="spellStart"/>
      <w:r>
        <w:rPr>
          <w:sz w:val="24"/>
        </w:rPr>
        <w:t>автоУСН</w:t>
      </w:r>
      <w:proofErr w:type="spellEnd"/>
      <w:r>
        <w:rPr>
          <w:sz w:val="24"/>
        </w:rPr>
        <w:t>. С 1 января этот налоговый режим </w:t>
      </w:r>
      <w:hyperlink r:id="rId5" w:history="1">
        <w:r>
          <w:rPr>
            <w:rStyle w:val="a5"/>
            <w:sz w:val="24"/>
            <w:u w:val="none"/>
          </w:rPr>
          <w:t>стал доступен</w:t>
        </w:r>
      </w:hyperlink>
      <w:r>
        <w:rPr>
          <w:sz w:val="24"/>
        </w:rPr>
        <w:t> налогоплательщикам города Байконур и еще 58 регионов РФ (в том числе пилотных Москвы, Подмосковья, Калужской области и республики Татарстан). С начала этого года к режиму присоединились около 5 тысяч предпринимателей.</w:t>
      </w:r>
    </w:p>
    <w:p w14:paraId="0A000000" w14:textId="77777777" w:rsidR="00883445" w:rsidRDefault="00883445">
      <w:pPr>
        <w:jc w:val="both"/>
        <w:rPr>
          <w:sz w:val="24"/>
        </w:rPr>
      </w:pPr>
    </w:p>
    <w:p w14:paraId="0B000000" w14:textId="77777777" w:rsidR="00883445" w:rsidRDefault="00946D1F">
      <w:pPr>
        <w:jc w:val="both"/>
        <w:rPr>
          <w:sz w:val="24"/>
        </w:rPr>
      </w:pPr>
      <w:r>
        <w:rPr>
          <w:sz w:val="24"/>
        </w:rPr>
        <w:t xml:space="preserve">С 1 февраля </w:t>
      </w:r>
      <w:proofErr w:type="spellStart"/>
      <w:r>
        <w:rPr>
          <w:sz w:val="24"/>
        </w:rPr>
        <w:t>автоУСН</w:t>
      </w:r>
      <w:proofErr w:type="spellEnd"/>
      <w:r>
        <w:rPr>
          <w:sz w:val="24"/>
        </w:rPr>
        <w:t xml:space="preserve"> станет доступен ещё в шести регионах: республика Карелия, республика Марий Эл, Белгородская и Свердловская области, Ненецкий автономный округ, Запорожская область, с 1 марта - в Донецкой Народной Республике.</w:t>
      </w:r>
    </w:p>
    <w:p w14:paraId="0C000000" w14:textId="77777777" w:rsidR="00883445" w:rsidRDefault="00883445">
      <w:pPr>
        <w:jc w:val="both"/>
        <w:rPr>
          <w:sz w:val="24"/>
        </w:rPr>
      </w:pPr>
    </w:p>
    <w:p w14:paraId="0D000000" w14:textId="77777777" w:rsidR="00883445" w:rsidRDefault="00946D1F">
      <w:pPr>
        <w:jc w:val="both"/>
        <w:rPr>
          <w:sz w:val="24"/>
        </w:rPr>
      </w:pPr>
      <w:r>
        <w:rPr>
          <w:sz w:val="24"/>
        </w:rPr>
        <w:t xml:space="preserve">С 2025 года организации и индивидуальные предприниматели, применяющие УСН, и </w:t>
      </w:r>
      <w:proofErr w:type="spellStart"/>
      <w:r>
        <w:rPr>
          <w:sz w:val="24"/>
        </w:rPr>
        <w:t>самозанятые</w:t>
      </w:r>
      <w:proofErr w:type="spellEnd"/>
      <w:r>
        <w:rPr>
          <w:sz w:val="24"/>
        </w:rPr>
        <w:t xml:space="preserve"> ИП вправе перейти на </w:t>
      </w:r>
      <w:proofErr w:type="spellStart"/>
      <w:r>
        <w:rPr>
          <w:sz w:val="24"/>
        </w:rPr>
        <w:t>автоУСН</w:t>
      </w:r>
      <w:proofErr w:type="spellEnd"/>
      <w:r>
        <w:rPr>
          <w:sz w:val="24"/>
        </w:rPr>
        <w:t xml:space="preserve"> с первого числа любого месяца, а не с 1 января, как было раньше. Для этого нужно уведомить налоговый орган о переходе на специальный налоговый режим и об отказе от применения УСН или НПД. Например, чтобы начать применять </w:t>
      </w:r>
      <w:proofErr w:type="spellStart"/>
      <w:r>
        <w:rPr>
          <w:sz w:val="24"/>
        </w:rPr>
        <w:t>автоУСН</w:t>
      </w:r>
      <w:proofErr w:type="spellEnd"/>
      <w:r>
        <w:rPr>
          <w:sz w:val="24"/>
        </w:rPr>
        <w:t xml:space="preserve"> с 1 апреля, то подать заявление об отказе от других систем налогообложения нужно до 31 марта.</w:t>
      </w:r>
    </w:p>
    <w:p w14:paraId="0E000000" w14:textId="77777777" w:rsidR="00883445" w:rsidRDefault="00883445">
      <w:pPr>
        <w:jc w:val="both"/>
        <w:rPr>
          <w:sz w:val="24"/>
        </w:rPr>
      </w:pPr>
    </w:p>
    <w:p w14:paraId="0F000000" w14:textId="77777777" w:rsidR="00883445" w:rsidRDefault="00946D1F">
      <w:pPr>
        <w:jc w:val="both"/>
        <w:rPr>
          <w:sz w:val="24"/>
        </w:rPr>
      </w:pPr>
      <w:r>
        <w:rPr>
          <w:sz w:val="24"/>
        </w:rPr>
        <w:t>Актуальную информацию об участии региона в эксперименте, а также о самом налоговом режиме и порядке перехода на его применение можно получить на нашем официальном сайте по </w:t>
      </w:r>
      <w:hyperlink r:id="rId6" w:history="1">
        <w:r>
          <w:rPr>
            <w:rStyle w:val="a5"/>
            <w:sz w:val="24"/>
          </w:rPr>
          <w:t>ссылке</w:t>
        </w:r>
      </w:hyperlink>
      <w:r>
        <w:rPr>
          <w:sz w:val="24"/>
        </w:rPr>
        <w:t>.</w:t>
      </w:r>
    </w:p>
    <w:p w14:paraId="10000000" w14:textId="77777777" w:rsidR="00883445" w:rsidRDefault="00883445">
      <w:pPr>
        <w:jc w:val="both"/>
        <w:rPr>
          <w:sz w:val="24"/>
        </w:rPr>
      </w:pPr>
    </w:p>
    <w:p w14:paraId="11000000" w14:textId="77777777" w:rsidR="00883445" w:rsidRDefault="00B8016D">
      <w:pPr>
        <w:jc w:val="both"/>
        <w:rPr>
          <w:sz w:val="24"/>
        </w:rPr>
      </w:pPr>
      <w:hyperlink r:id="rId7" w:history="1">
        <w:r w:rsidR="00946D1F">
          <w:rPr>
            <w:rStyle w:val="a5"/>
          </w:rPr>
          <w:t>https://www.nalog.gov.ru/rn77/news/activities_fts/15354802/</w:t>
        </w:r>
      </w:hyperlink>
    </w:p>
    <w:p w14:paraId="12000000" w14:textId="77777777" w:rsidR="00883445" w:rsidRDefault="00B8016D">
      <w:pPr>
        <w:jc w:val="both"/>
        <w:rPr>
          <w:rStyle w:val="a5"/>
        </w:rPr>
      </w:pPr>
      <w:hyperlink r:id="rId8" w:history="1">
        <w:r w:rsidR="00946D1F">
          <w:rPr>
            <w:rStyle w:val="a5"/>
          </w:rPr>
          <w:t>https://ausn.nalog.gov.ru/</w:t>
        </w:r>
      </w:hyperlink>
    </w:p>
    <w:p w14:paraId="2E7DCA43" w14:textId="77777777" w:rsidR="00B8016D" w:rsidRDefault="00B8016D">
      <w:pPr>
        <w:jc w:val="both"/>
        <w:rPr>
          <w:rStyle w:val="a5"/>
        </w:rPr>
      </w:pPr>
    </w:p>
    <w:p w14:paraId="2AC5315A" w14:textId="77777777" w:rsidR="00B8016D" w:rsidRDefault="00B8016D">
      <w:pPr>
        <w:jc w:val="both"/>
        <w:rPr>
          <w:rStyle w:val="a5"/>
        </w:rPr>
      </w:pPr>
    </w:p>
    <w:p w14:paraId="6A030855" w14:textId="77777777" w:rsidR="00B8016D" w:rsidRDefault="00B8016D">
      <w:pPr>
        <w:jc w:val="both"/>
        <w:rPr>
          <w:rStyle w:val="a5"/>
        </w:rPr>
      </w:pPr>
    </w:p>
    <w:p w14:paraId="11639F64" w14:textId="77777777" w:rsidR="00B8016D" w:rsidRDefault="00B8016D">
      <w:pPr>
        <w:jc w:val="both"/>
        <w:rPr>
          <w:rStyle w:val="a5"/>
        </w:rPr>
      </w:pPr>
    </w:p>
    <w:p w14:paraId="35E67221" w14:textId="77777777" w:rsidR="00B8016D" w:rsidRDefault="00B8016D">
      <w:pPr>
        <w:jc w:val="both"/>
        <w:rPr>
          <w:rStyle w:val="a5"/>
        </w:rPr>
      </w:pPr>
    </w:p>
    <w:p w14:paraId="64B53BAB" w14:textId="77777777" w:rsidR="00B8016D" w:rsidRDefault="00B8016D">
      <w:pPr>
        <w:jc w:val="both"/>
        <w:rPr>
          <w:rStyle w:val="a5"/>
        </w:rPr>
      </w:pPr>
    </w:p>
    <w:p w14:paraId="17BF0D9A" w14:textId="77777777" w:rsidR="00B8016D" w:rsidRDefault="00B8016D">
      <w:pPr>
        <w:jc w:val="both"/>
        <w:rPr>
          <w:rStyle w:val="a5"/>
        </w:rPr>
      </w:pPr>
    </w:p>
    <w:p w14:paraId="177997CD" w14:textId="77777777" w:rsidR="00B8016D" w:rsidRDefault="00B8016D">
      <w:pPr>
        <w:jc w:val="both"/>
        <w:rPr>
          <w:rStyle w:val="a5"/>
        </w:rPr>
      </w:pPr>
    </w:p>
    <w:p w14:paraId="2EC1588F" w14:textId="77777777" w:rsidR="00B8016D" w:rsidRDefault="00B8016D">
      <w:pPr>
        <w:jc w:val="both"/>
        <w:rPr>
          <w:rStyle w:val="a5"/>
        </w:rPr>
      </w:pPr>
    </w:p>
    <w:p w14:paraId="4A6F2B8F" w14:textId="77777777" w:rsidR="00B8016D" w:rsidRDefault="00B8016D">
      <w:pPr>
        <w:jc w:val="both"/>
        <w:rPr>
          <w:rStyle w:val="a5"/>
        </w:rPr>
      </w:pPr>
    </w:p>
    <w:p w14:paraId="25E6DCF9" w14:textId="77777777" w:rsidR="00B8016D" w:rsidRDefault="00B8016D">
      <w:pPr>
        <w:jc w:val="both"/>
        <w:rPr>
          <w:rStyle w:val="a5"/>
        </w:rPr>
      </w:pPr>
    </w:p>
    <w:p w14:paraId="24B81600" w14:textId="77777777" w:rsidR="00B8016D" w:rsidRDefault="00B8016D">
      <w:pPr>
        <w:jc w:val="both"/>
        <w:rPr>
          <w:rStyle w:val="a5"/>
        </w:rPr>
      </w:pPr>
    </w:p>
    <w:p w14:paraId="4530B3CC" w14:textId="77777777" w:rsidR="00B8016D" w:rsidRDefault="00B8016D">
      <w:pPr>
        <w:jc w:val="both"/>
        <w:rPr>
          <w:rStyle w:val="a5"/>
        </w:rPr>
      </w:pPr>
    </w:p>
    <w:p w14:paraId="786E82FB" w14:textId="77777777" w:rsidR="00B8016D" w:rsidRDefault="00B8016D">
      <w:pPr>
        <w:jc w:val="both"/>
        <w:rPr>
          <w:rStyle w:val="a5"/>
        </w:rPr>
      </w:pPr>
    </w:p>
    <w:p w14:paraId="42A3CA46" w14:textId="77777777" w:rsidR="00B8016D" w:rsidRDefault="00B8016D">
      <w:pPr>
        <w:jc w:val="both"/>
        <w:rPr>
          <w:rStyle w:val="a5"/>
        </w:rPr>
      </w:pPr>
    </w:p>
    <w:p w14:paraId="2093B945" w14:textId="77777777" w:rsidR="00B8016D" w:rsidRDefault="00B8016D">
      <w:pPr>
        <w:jc w:val="both"/>
        <w:rPr>
          <w:rStyle w:val="a5"/>
        </w:rPr>
      </w:pPr>
    </w:p>
    <w:p w14:paraId="5E375DBD" w14:textId="77777777" w:rsidR="00B8016D" w:rsidRDefault="00B8016D">
      <w:pPr>
        <w:jc w:val="both"/>
        <w:rPr>
          <w:rStyle w:val="a5"/>
        </w:rPr>
      </w:pPr>
    </w:p>
    <w:p w14:paraId="0D13F50E" w14:textId="77777777" w:rsidR="00B8016D" w:rsidRDefault="00B8016D">
      <w:pPr>
        <w:jc w:val="both"/>
        <w:rPr>
          <w:rStyle w:val="a5"/>
        </w:rPr>
      </w:pPr>
      <w:bookmarkStart w:id="0" w:name="_GoBack"/>
      <w:bookmarkEnd w:id="0"/>
    </w:p>
    <w:p w14:paraId="51ACC1F2" w14:textId="77777777" w:rsidR="00B8016D" w:rsidRDefault="00B8016D">
      <w:pPr>
        <w:jc w:val="both"/>
        <w:rPr>
          <w:rStyle w:val="a5"/>
        </w:rPr>
      </w:pPr>
    </w:p>
    <w:p w14:paraId="6B995307" w14:textId="77777777" w:rsidR="00B8016D" w:rsidRDefault="00B8016D">
      <w:pPr>
        <w:jc w:val="both"/>
        <w:rPr>
          <w:rStyle w:val="a5"/>
        </w:rPr>
      </w:pPr>
    </w:p>
    <w:p w14:paraId="741325E1" w14:textId="77777777" w:rsidR="00B8016D" w:rsidRDefault="00B8016D">
      <w:pPr>
        <w:jc w:val="both"/>
        <w:rPr>
          <w:rStyle w:val="a5"/>
        </w:rPr>
      </w:pPr>
    </w:p>
    <w:p w14:paraId="1DA13023" w14:textId="77777777" w:rsidR="00B8016D" w:rsidRDefault="00B8016D">
      <w:pPr>
        <w:jc w:val="both"/>
        <w:rPr>
          <w:rStyle w:val="a5"/>
        </w:rPr>
      </w:pPr>
    </w:p>
    <w:p w14:paraId="4BC06AE2" w14:textId="77777777" w:rsidR="00B8016D" w:rsidRDefault="00B8016D">
      <w:pPr>
        <w:jc w:val="both"/>
        <w:rPr>
          <w:rStyle w:val="a5"/>
        </w:rPr>
      </w:pPr>
    </w:p>
    <w:p w14:paraId="2FD13479" w14:textId="77777777" w:rsidR="00B8016D" w:rsidRDefault="00B8016D">
      <w:pPr>
        <w:jc w:val="both"/>
        <w:rPr>
          <w:rStyle w:val="a5"/>
        </w:rPr>
      </w:pPr>
    </w:p>
    <w:p w14:paraId="07D6CDAB" w14:textId="55748A2D" w:rsidR="00B8016D" w:rsidRDefault="00B8016D">
      <w:pPr>
        <w:jc w:val="both"/>
        <w:rPr>
          <w:sz w:val="24"/>
        </w:rPr>
      </w:pPr>
      <w:r>
        <w:rPr>
          <w:noProof/>
          <w:color w:val="0000FF" w:themeColor="hyperlink"/>
          <w:u w:val="single"/>
        </w:rPr>
        <w:lastRenderedPageBreak/>
        <w:drawing>
          <wp:inline distT="0" distB="0" distL="0" distR="0" wp14:anchorId="364080F3" wp14:editId="328721FA">
            <wp:extent cx="6118860" cy="6118860"/>
            <wp:effectExtent l="0" t="0" r="0" b="0"/>
            <wp:docPr id="1" name="Рисунок 1" descr="d:\Desktop\нало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нало\1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611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</w:rPr>
        <w:lastRenderedPageBreak/>
        <w:drawing>
          <wp:inline distT="0" distB="0" distL="0" distR="0" wp14:anchorId="280BC6E9" wp14:editId="046846AC">
            <wp:extent cx="5402580" cy="9608820"/>
            <wp:effectExtent l="0" t="0" r="0" b="0"/>
            <wp:docPr id="2" name="Рисунок 2" descr="d:\Desktop\нало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esktop\нало\2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2580" cy="9608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</w:rPr>
        <w:lastRenderedPageBreak/>
        <w:drawing>
          <wp:inline distT="0" distB="0" distL="0" distR="0" wp14:anchorId="0A667BE0" wp14:editId="702BA562">
            <wp:extent cx="6118860" cy="6118860"/>
            <wp:effectExtent l="0" t="0" r="0" b="0"/>
            <wp:docPr id="3" name="Рисунок 3" descr="d:\Desktop\нало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esktop\нало\3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611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000000" w14:textId="77777777" w:rsidR="00883445" w:rsidRDefault="00883445">
      <w:pPr>
        <w:jc w:val="both"/>
        <w:rPr>
          <w:sz w:val="24"/>
        </w:rPr>
      </w:pPr>
    </w:p>
    <w:p w14:paraId="14000000" w14:textId="77777777" w:rsidR="00883445" w:rsidRDefault="00883445">
      <w:pPr>
        <w:jc w:val="both"/>
        <w:rPr>
          <w:sz w:val="24"/>
        </w:rPr>
      </w:pPr>
    </w:p>
    <w:sectPr w:rsidR="00883445">
      <w:pgSz w:w="11906" w:h="16838"/>
      <w:pgMar w:top="851" w:right="850" w:bottom="851" w:left="1418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445"/>
    <w:rsid w:val="00883445"/>
    <w:rsid w:val="00946D1F"/>
    <w:rsid w:val="00B80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6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b/>
      <w:sz w:val="1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NormalExport">
    <w:name w:val="Normal_Export"/>
    <w:basedOn w:val="a"/>
    <w:link w:val="NormalExport0"/>
    <w:pPr>
      <w:spacing w:after="240"/>
      <w:jc w:val="both"/>
    </w:pPr>
    <w:rPr>
      <w:rFonts w:ascii="Arial" w:hAnsi="Arial"/>
      <w:sz w:val="20"/>
      <w:highlight w:val="white"/>
    </w:rPr>
  </w:style>
  <w:style w:type="character" w:customStyle="1" w:styleId="NormalExport0">
    <w:name w:val="Normal_Export"/>
    <w:basedOn w:val="1"/>
    <w:link w:val="NormalExport"/>
    <w:rPr>
      <w:rFonts w:ascii="Arial" w:hAnsi="Arial"/>
      <w:color w:val="000000"/>
      <w:sz w:val="20"/>
      <w:highlight w:val="white"/>
    </w:rPr>
  </w:style>
  <w:style w:type="paragraph" w:customStyle="1" w:styleId="210">
    <w:name w:val="Основной текст 21"/>
    <w:basedOn w:val="a"/>
    <w:link w:val="211"/>
    <w:pPr>
      <w:ind w:firstLine="720"/>
      <w:jc w:val="both"/>
    </w:pPr>
    <w:rPr>
      <w:sz w:val="24"/>
    </w:rPr>
  </w:style>
  <w:style w:type="character" w:customStyle="1" w:styleId="211">
    <w:name w:val="Основной текст 21"/>
    <w:basedOn w:val="1"/>
    <w:link w:val="210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styleId="a3">
    <w:name w:val="Normal (Web)"/>
    <w:basedOn w:val="a"/>
    <w:link w:val="a4"/>
    <w:pPr>
      <w:spacing w:beforeAutospacing="1" w:afterAutospacing="1"/>
    </w:pPr>
    <w:rPr>
      <w:sz w:val="24"/>
    </w:rPr>
  </w:style>
  <w:style w:type="character" w:customStyle="1" w:styleId="a4">
    <w:name w:val="Обычный (веб) Знак"/>
    <w:basedOn w:val="1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sz w:val="32"/>
    </w:rPr>
  </w:style>
  <w:style w:type="paragraph" w:customStyle="1" w:styleId="12">
    <w:name w:val="Гиперссылка1"/>
    <w:basedOn w:val="13"/>
    <w:link w:val="a5"/>
    <w:rPr>
      <w:color w:val="0000FF" w:themeColor="hyperlink"/>
      <w:u w:val="single"/>
    </w:rPr>
  </w:style>
  <w:style w:type="character" w:styleId="a5">
    <w:name w:val="Hyperlink"/>
    <w:basedOn w:val="a0"/>
    <w:link w:val="12"/>
    <w:rPr>
      <w:color w:val="0000FF" w:themeColor="hyperlink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13">
    <w:name w:val="Основной шрифт абзаца1"/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6">
    <w:name w:val="Subtitle"/>
    <w:next w:val="a"/>
    <w:link w:val="a7"/>
    <w:uiPriority w:val="11"/>
    <w:qFormat/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color w:val="616161"/>
      <w:sz w:val="24"/>
    </w:rPr>
  </w:style>
  <w:style w:type="paragraph" w:styleId="a8">
    <w:name w:val="List Paragraph"/>
    <w:basedOn w:val="a"/>
    <w:link w:val="a9"/>
    <w:pPr>
      <w:ind w:left="720"/>
      <w:contextualSpacing/>
    </w:pPr>
    <w:rPr>
      <w:sz w:val="24"/>
    </w:rPr>
  </w:style>
  <w:style w:type="character" w:customStyle="1" w:styleId="a9">
    <w:name w:val="Абзац списка Знак"/>
    <w:basedOn w:val="1"/>
    <w:link w:val="a8"/>
    <w:rPr>
      <w:rFonts w:ascii="Times New Roman" w:hAnsi="Times New Roman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a">
    <w:name w:val="Title"/>
    <w:next w:val="a"/>
    <w:link w:val="ab"/>
    <w:uiPriority w:val="10"/>
    <w:qFormat/>
    <w:rPr>
      <w:rFonts w:ascii="XO Thames" w:hAnsi="XO Thames"/>
      <w:b/>
      <w:sz w:val="52"/>
    </w:rPr>
  </w:style>
  <w:style w:type="character" w:customStyle="1" w:styleId="ab">
    <w:name w:val="Название Знак"/>
    <w:link w:val="aa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1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c">
    <w:name w:val="Balloon Text"/>
    <w:basedOn w:val="a"/>
    <w:link w:val="ad"/>
    <w:uiPriority w:val="99"/>
    <w:semiHidden/>
    <w:unhideWhenUsed/>
    <w:rsid w:val="00B8016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801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6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/>
      <w:outlineLvl w:val="0"/>
    </w:pPr>
    <w:rPr>
      <w:rFonts w:ascii="Arial" w:hAnsi="Arial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b/>
      <w:sz w:val="1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sz w:val="26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NormalExport">
    <w:name w:val="Normal_Export"/>
    <w:basedOn w:val="a"/>
    <w:link w:val="NormalExport0"/>
    <w:pPr>
      <w:spacing w:after="240"/>
      <w:jc w:val="both"/>
    </w:pPr>
    <w:rPr>
      <w:rFonts w:ascii="Arial" w:hAnsi="Arial"/>
      <w:sz w:val="20"/>
      <w:highlight w:val="white"/>
    </w:rPr>
  </w:style>
  <w:style w:type="character" w:customStyle="1" w:styleId="NormalExport0">
    <w:name w:val="Normal_Export"/>
    <w:basedOn w:val="1"/>
    <w:link w:val="NormalExport"/>
    <w:rPr>
      <w:rFonts w:ascii="Arial" w:hAnsi="Arial"/>
      <w:color w:val="000000"/>
      <w:sz w:val="20"/>
      <w:highlight w:val="white"/>
    </w:rPr>
  </w:style>
  <w:style w:type="paragraph" w:customStyle="1" w:styleId="210">
    <w:name w:val="Основной текст 21"/>
    <w:basedOn w:val="a"/>
    <w:link w:val="211"/>
    <w:pPr>
      <w:ind w:firstLine="720"/>
      <w:jc w:val="both"/>
    </w:pPr>
    <w:rPr>
      <w:sz w:val="24"/>
    </w:rPr>
  </w:style>
  <w:style w:type="character" w:customStyle="1" w:styleId="211">
    <w:name w:val="Основной текст 21"/>
    <w:basedOn w:val="1"/>
    <w:link w:val="210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styleId="a3">
    <w:name w:val="Normal (Web)"/>
    <w:basedOn w:val="a"/>
    <w:link w:val="a4"/>
    <w:pPr>
      <w:spacing w:beforeAutospacing="1" w:afterAutospacing="1"/>
    </w:pPr>
    <w:rPr>
      <w:sz w:val="24"/>
    </w:rPr>
  </w:style>
  <w:style w:type="character" w:customStyle="1" w:styleId="a4">
    <w:name w:val="Обычный (веб) Знак"/>
    <w:basedOn w:val="1"/>
    <w:link w:val="a3"/>
    <w:rPr>
      <w:rFonts w:ascii="Times New Roman" w:hAnsi="Times New Roman"/>
      <w:sz w:val="24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sz w:val="32"/>
    </w:rPr>
  </w:style>
  <w:style w:type="paragraph" w:customStyle="1" w:styleId="12">
    <w:name w:val="Гиперссылка1"/>
    <w:basedOn w:val="13"/>
    <w:link w:val="a5"/>
    <w:rPr>
      <w:color w:val="0000FF" w:themeColor="hyperlink"/>
      <w:u w:val="single"/>
    </w:rPr>
  </w:style>
  <w:style w:type="character" w:styleId="a5">
    <w:name w:val="Hyperlink"/>
    <w:basedOn w:val="a0"/>
    <w:link w:val="12"/>
    <w:rPr>
      <w:color w:val="0000FF" w:themeColor="hyperlink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13">
    <w:name w:val="Основной шрифт абзаца1"/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6">
    <w:name w:val="Subtitle"/>
    <w:next w:val="a"/>
    <w:link w:val="a7"/>
    <w:uiPriority w:val="11"/>
    <w:qFormat/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Pr>
      <w:rFonts w:ascii="XO Thames" w:hAnsi="XO Thames"/>
      <w:i/>
      <w:color w:val="616161"/>
      <w:sz w:val="24"/>
    </w:rPr>
  </w:style>
  <w:style w:type="paragraph" w:styleId="a8">
    <w:name w:val="List Paragraph"/>
    <w:basedOn w:val="a"/>
    <w:link w:val="a9"/>
    <w:pPr>
      <w:ind w:left="720"/>
      <w:contextualSpacing/>
    </w:pPr>
    <w:rPr>
      <w:sz w:val="24"/>
    </w:rPr>
  </w:style>
  <w:style w:type="character" w:customStyle="1" w:styleId="a9">
    <w:name w:val="Абзац списка Знак"/>
    <w:basedOn w:val="1"/>
    <w:link w:val="a8"/>
    <w:rPr>
      <w:rFonts w:ascii="Times New Roman" w:hAnsi="Times New Roman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a">
    <w:name w:val="Title"/>
    <w:next w:val="a"/>
    <w:link w:val="ab"/>
    <w:uiPriority w:val="10"/>
    <w:qFormat/>
    <w:rPr>
      <w:rFonts w:ascii="XO Thames" w:hAnsi="XO Thames"/>
      <w:b/>
      <w:sz w:val="52"/>
    </w:rPr>
  </w:style>
  <w:style w:type="character" w:customStyle="1" w:styleId="ab">
    <w:name w:val="Название Знак"/>
    <w:link w:val="aa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1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c">
    <w:name w:val="Balloon Text"/>
    <w:basedOn w:val="a"/>
    <w:link w:val="ad"/>
    <w:uiPriority w:val="99"/>
    <w:semiHidden/>
    <w:unhideWhenUsed/>
    <w:rsid w:val="00B8016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801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usn.nalog.gov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alog.gov.ru/rn77/news/activities_fts/15354802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ausn.nalog.gov.ru/" TargetMode="External"/><Relationship Id="rId11" Type="http://schemas.openxmlformats.org/officeDocument/2006/relationships/image" Target="media/image3.jpeg"/><Relationship Id="rId5" Type="http://schemas.openxmlformats.org/officeDocument/2006/relationships/hyperlink" Target="https://www.nalog.gov.ru/rn77/news/activities_fts/15354802/" TargetMode="Externa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Федурина Татьяна Владимировна</dc:creator>
  <cp:lastModifiedBy>Каренгина</cp:lastModifiedBy>
  <cp:revision>2</cp:revision>
  <dcterms:created xsi:type="dcterms:W3CDTF">2025-01-24T06:28:00Z</dcterms:created>
  <dcterms:modified xsi:type="dcterms:W3CDTF">2025-01-24T06:28:00Z</dcterms:modified>
</cp:coreProperties>
</file>