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24C" w:rsidRPr="00E448E7" w:rsidRDefault="0051624C" w:rsidP="0051624C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Theme="minorHAnsi" w:hAnsiTheme="minorHAnsi"/>
          <w:color w:val="292929"/>
          <w:sz w:val="22"/>
          <w:szCs w:val="22"/>
          <w:shd w:val="clear" w:color="auto" w:fill="FFFFFF"/>
        </w:rPr>
      </w:pPr>
      <w:r w:rsidRPr="00E448E7">
        <w:rPr>
          <w:rFonts w:asciiTheme="minorHAnsi" w:hAnsiTheme="minorHAnsi"/>
          <w:color w:val="292929"/>
          <w:sz w:val="22"/>
          <w:szCs w:val="22"/>
          <w:shd w:val="clear" w:color="auto" w:fill="FFFFFF"/>
        </w:rPr>
        <w:t xml:space="preserve">В наши дни вопрос о маркировке </w:t>
      </w:r>
      <w:r w:rsidR="00E448E7" w:rsidRPr="00E448E7">
        <w:rPr>
          <w:rFonts w:asciiTheme="minorHAnsi" w:hAnsiTheme="minorHAnsi"/>
          <w:color w:val="292929"/>
          <w:sz w:val="22"/>
          <w:szCs w:val="22"/>
          <w:shd w:val="clear" w:color="auto" w:fill="FFFFFF"/>
        </w:rPr>
        <w:t>шин</w:t>
      </w:r>
      <w:r w:rsidRPr="00E448E7">
        <w:rPr>
          <w:rFonts w:asciiTheme="minorHAnsi" w:hAnsiTheme="minorHAnsi"/>
          <w:color w:val="292929"/>
          <w:sz w:val="22"/>
          <w:szCs w:val="22"/>
          <w:shd w:val="clear" w:color="auto" w:fill="FFFFFF"/>
        </w:rPr>
        <w:t xml:space="preserve"> стал особенно значимым, особенно с введением с</w:t>
      </w:r>
      <w:r w:rsidRPr="00E448E7">
        <w:rPr>
          <w:rFonts w:asciiTheme="minorHAnsi" w:hAnsiTheme="minorHAnsi"/>
          <w:sz w:val="22"/>
          <w:szCs w:val="22"/>
        </w:rPr>
        <w:t xml:space="preserve">истемы </w:t>
      </w:r>
      <w:r w:rsidRPr="00E448E7">
        <w:rPr>
          <w:rFonts w:asciiTheme="minorHAnsi" w:hAnsiTheme="minorHAnsi"/>
          <w:color w:val="292929"/>
          <w:sz w:val="22"/>
          <w:szCs w:val="22"/>
          <w:shd w:val="clear" w:color="auto" w:fill="FFFFFF"/>
        </w:rPr>
        <w:t>"Честный знак".</w:t>
      </w:r>
    </w:p>
    <w:p w:rsidR="0051624C" w:rsidRPr="00E448E7" w:rsidRDefault="0051624C" w:rsidP="0051624C">
      <w:pPr>
        <w:spacing w:after="0"/>
        <w:ind w:firstLine="539"/>
        <w:jc w:val="both"/>
        <w:rPr>
          <w:rFonts w:cs="Times New Roman"/>
        </w:rPr>
      </w:pPr>
      <w:r w:rsidRPr="00E448E7">
        <w:rPr>
          <w:rFonts w:cs="Times New Roman"/>
        </w:rPr>
        <w:t xml:space="preserve">Правила маркировки шин с использованием средств идентификации </w:t>
      </w:r>
      <w:r w:rsidR="00CF48B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371475</wp:posOffset>
            </wp:positionV>
            <wp:extent cx="1423035" cy="922020"/>
            <wp:effectExtent l="0" t="0" r="5715" b="0"/>
            <wp:wrapTight wrapText="bothSides">
              <wp:wrapPolygon edited="0">
                <wp:start x="0" y="0"/>
                <wp:lineTo x="0" y="20975"/>
                <wp:lineTo x="21398" y="20975"/>
                <wp:lineTo x="21398" y="0"/>
                <wp:lineTo x="0" y="0"/>
              </wp:wrapPolygon>
            </wp:wrapTight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48E7">
        <w:rPr>
          <w:rFonts w:cs="Times New Roman"/>
        </w:rPr>
        <w:t>были утверждены постановлением Правительства РФ от 31 декабря 2019 года №1958. Согласно этим правилам, начиная с 15 декабря 2020 года, разрешается оборот исключительно маркированных шин.</w:t>
      </w:r>
    </w:p>
    <w:p w:rsidR="0051624C" w:rsidRPr="00E448E7" w:rsidRDefault="0051624C" w:rsidP="0051624C">
      <w:pPr>
        <w:spacing w:after="0"/>
        <w:ind w:firstLine="539"/>
        <w:jc w:val="both"/>
        <w:rPr>
          <w:rFonts w:eastAsia="Times New Roman" w:cs="Times New Roman"/>
          <w:lang w:eastAsia="ru-RU"/>
        </w:rPr>
      </w:pPr>
      <w:r w:rsidRPr="00E448E7">
        <w:rPr>
          <w:rFonts w:eastAsia="Times New Roman" w:cs="Times New Roman"/>
          <w:lang w:eastAsia="ru-RU"/>
        </w:rPr>
        <w:t xml:space="preserve">Участниками оборота шин признаются юридические лица и индивидуальные предприниматели, а также аккредитованные филиалы иностранных юридических лиц в Российской Федерации, являющиеся налоговыми резидентами Российской Федерации, осуществляющие ввод шин в оборот, оборот и (или) вывод из оборота шин. </w:t>
      </w:r>
    </w:p>
    <w:p w:rsidR="00CF48BE" w:rsidRDefault="0051624C" w:rsidP="0051624C">
      <w:pPr>
        <w:spacing w:after="0"/>
        <w:ind w:firstLine="539"/>
        <w:jc w:val="both"/>
        <w:rPr>
          <w:rFonts w:cs="Times New Roman"/>
        </w:rPr>
      </w:pPr>
      <w:r w:rsidRPr="00CF48BE">
        <w:rPr>
          <w:rFonts w:cs="Times New Roman"/>
        </w:rPr>
        <w:t xml:space="preserve">В перечень шинной продукции, подлежащей обязательной маркировке, входят: </w:t>
      </w:r>
    </w:p>
    <w:p w:rsidR="00CF48BE" w:rsidRPr="00CF48BE" w:rsidRDefault="0051624C" w:rsidP="00CF48BE">
      <w:pPr>
        <w:pStyle w:val="a7"/>
        <w:numPr>
          <w:ilvl w:val="0"/>
          <w:numId w:val="22"/>
        </w:numPr>
        <w:spacing w:after="0"/>
        <w:ind w:left="0" w:firstLine="0"/>
        <w:jc w:val="both"/>
        <w:rPr>
          <w:rFonts w:cs="Times New Roman"/>
        </w:rPr>
      </w:pPr>
      <w:r w:rsidRPr="00CF48BE">
        <w:rPr>
          <w:rFonts w:cs="Times New Roman"/>
        </w:rPr>
        <w:t xml:space="preserve">шины и покрышки пневматические для легковых автомобилей, </w:t>
      </w:r>
    </w:p>
    <w:p w:rsidR="00CF48BE" w:rsidRPr="00CF48BE" w:rsidRDefault="0051624C" w:rsidP="00CF48BE">
      <w:pPr>
        <w:pStyle w:val="a7"/>
        <w:numPr>
          <w:ilvl w:val="0"/>
          <w:numId w:val="22"/>
        </w:numPr>
        <w:spacing w:after="0"/>
        <w:ind w:left="0" w:firstLine="0"/>
        <w:jc w:val="both"/>
        <w:rPr>
          <w:rFonts w:eastAsia="Times New Roman" w:cs="Times New Roman"/>
          <w:lang w:eastAsia="ru-RU"/>
        </w:rPr>
      </w:pPr>
      <w:r w:rsidRPr="00CF48BE">
        <w:rPr>
          <w:rFonts w:cs="Times New Roman"/>
        </w:rPr>
        <w:t xml:space="preserve">шины пневматические для мотоциклов, мотоколясок, мотороллеров, мопедов и </w:t>
      </w:r>
      <w:proofErr w:type="spellStart"/>
      <w:r w:rsidRPr="00CF48BE">
        <w:rPr>
          <w:rFonts w:cs="Times New Roman"/>
        </w:rPr>
        <w:t>квадроциклов</w:t>
      </w:r>
      <w:proofErr w:type="spellEnd"/>
      <w:r w:rsidRPr="00CF48BE">
        <w:rPr>
          <w:rFonts w:cs="Times New Roman"/>
        </w:rPr>
        <w:t xml:space="preserve">, </w:t>
      </w:r>
    </w:p>
    <w:p w:rsidR="00CF48BE" w:rsidRPr="00CF48BE" w:rsidRDefault="0051624C" w:rsidP="00CF48BE">
      <w:pPr>
        <w:pStyle w:val="a7"/>
        <w:numPr>
          <w:ilvl w:val="0"/>
          <w:numId w:val="22"/>
        </w:numPr>
        <w:spacing w:after="0"/>
        <w:ind w:left="0" w:firstLine="0"/>
        <w:jc w:val="both"/>
        <w:rPr>
          <w:rFonts w:cs="Times New Roman"/>
        </w:rPr>
      </w:pPr>
      <w:r w:rsidRPr="00CF48BE">
        <w:rPr>
          <w:rFonts w:cs="Times New Roman"/>
        </w:rPr>
        <w:t xml:space="preserve">шины и покрышки пневматические для грузовых автомобилей, </w:t>
      </w:r>
    </w:p>
    <w:p w:rsidR="00CF48BE" w:rsidRPr="00CF48BE" w:rsidRDefault="0051624C" w:rsidP="00CF48BE">
      <w:pPr>
        <w:pStyle w:val="a7"/>
        <w:numPr>
          <w:ilvl w:val="0"/>
          <w:numId w:val="22"/>
        </w:numPr>
        <w:spacing w:after="0"/>
        <w:ind w:left="0" w:firstLine="0"/>
        <w:jc w:val="both"/>
        <w:rPr>
          <w:rFonts w:cs="Times New Roman"/>
        </w:rPr>
      </w:pPr>
      <w:r w:rsidRPr="00CF48BE">
        <w:rPr>
          <w:rFonts w:cs="Times New Roman"/>
        </w:rPr>
        <w:t xml:space="preserve">шины и покрышки пневматические для сельскохозяйственных машин; </w:t>
      </w:r>
    </w:p>
    <w:p w:rsidR="00E448E7" w:rsidRPr="00CF48BE" w:rsidRDefault="0051624C" w:rsidP="00CF48BE">
      <w:pPr>
        <w:pStyle w:val="a7"/>
        <w:numPr>
          <w:ilvl w:val="0"/>
          <w:numId w:val="22"/>
        </w:numPr>
        <w:spacing w:after="0"/>
        <w:ind w:left="0" w:firstLine="0"/>
        <w:jc w:val="both"/>
        <w:rPr>
          <w:rFonts w:cs="Times New Roman"/>
          <w:color w:val="000000"/>
        </w:rPr>
      </w:pPr>
      <w:r w:rsidRPr="00CF48BE">
        <w:rPr>
          <w:rFonts w:cs="Times New Roman"/>
        </w:rPr>
        <w:t>шины и покрышки пневматические прочие</w:t>
      </w:r>
      <w:r w:rsidRPr="00CF48BE">
        <w:rPr>
          <w:rFonts w:cs="Times New Roman"/>
          <w:color w:val="000000"/>
        </w:rPr>
        <w:t xml:space="preserve">. </w:t>
      </w:r>
    </w:p>
    <w:p w:rsidR="0051624C" w:rsidRPr="00E448E7" w:rsidRDefault="00477825" w:rsidP="0051624C">
      <w:pPr>
        <w:spacing w:after="0"/>
        <w:ind w:firstLine="539"/>
        <w:jc w:val="both"/>
        <w:rPr>
          <w:rFonts w:cs="Times New Roman"/>
          <w:color w:val="000000"/>
        </w:rPr>
      </w:pPr>
      <w:r>
        <w:rPr>
          <w:rFonts w:cs="Times New Roman"/>
          <w:noProof/>
          <w:color w:val="00000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3388995</wp:posOffset>
            </wp:positionH>
            <wp:positionV relativeFrom="paragraph">
              <wp:posOffset>144145</wp:posOffset>
            </wp:positionV>
            <wp:extent cx="536575" cy="665480"/>
            <wp:effectExtent l="19050" t="0" r="0" b="0"/>
            <wp:wrapTight wrapText="bothSides">
              <wp:wrapPolygon edited="0">
                <wp:start x="-767" y="0"/>
                <wp:lineTo x="-767" y="21023"/>
                <wp:lineTo x="21472" y="21023"/>
                <wp:lineTo x="21472" y="0"/>
                <wp:lineTo x="-767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624C" w:rsidRPr="00E448E7">
        <w:rPr>
          <w:rFonts w:cs="Times New Roman"/>
          <w:color w:val="000000"/>
        </w:rPr>
        <w:t>Исходя из этого списка, шины практически для всех транспортных средств, которые перемещаются по российским дорогам, должны иметь обязательную маркировку.</w:t>
      </w:r>
    </w:p>
    <w:p w:rsidR="0051624C" w:rsidRPr="00E448E7" w:rsidRDefault="006E4B1A" w:rsidP="00CF48BE">
      <w:pPr>
        <w:spacing w:after="0"/>
        <w:jc w:val="both"/>
        <w:rPr>
          <w:rFonts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3175</wp:posOffset>
            </wp:positionV>
            <wp:extent cx="842645" cy="675640"/>
            <wp:effectExtent l="0" t="0" r="0" b="0"/>
            <wp:wrapTight wrapText="bothSides">
              <wp:wrapPolygon edited="0">
                <wp:start x="0" y="0"/>
                <wp:lineTo x="0" y="20707"/>
                <wp:lineTo x="20998" y="20707"/>
                <wp:lineTo x="20998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624C" w:rsidRPr="00E448E7">
        <w:rPr>
          <w:rFonts w:cs="Times New Roman"/>
        </w:rPr>
        <w:t xml:space="preserve"> Обращаем внимание, что </w:t>
      </w:r>
      <w:r w:rsidR="0051624C" w:rsidRPr="00E448E7">
        <w:rPr>
          <w:rFonts w:cs="Times New Roman"/>
          <w:shd w:val="clear" w:color="auto" w:fill="FFFFFF"/>
        </w:rPr>
        <w:t>не подлежат </w:t>
      </w:r>
      <w:proofErr w:type="gramStart"/>
      <w:r w:rsidR="0051624C" w:rsidRPr="00E448E7">
        <w:rPr>
          <w:rFonts w:cs="Times New Roman"/>
          <w:shd w:val="clear" w:color="auto" w:fill="FFFFFF"/>
        </w:rPr>
        <w:t>маркировке </w:t>
      </w:r>
      <w:r w:rsidR="0051624C" w:rsidRPr="00E448E7">
        <w:rPr>
          <w:rFonts w:cs="Times New Roman"/>
        </w:rPr>
        <w:t xml:space="preserve"> шины</w:t>
      </w:r>
      <w:proofErr w:type="gramEnd"/>
      <w:r w:rsidR="0051624C" w:rsidRPr="00E448E7">
        <w:rPr>
          <w:rFonts w:cs="Times New Roman"/>
        </w:rPr>
        <w:t xml:space="preserve"> и покрышки новые велосипедные, шины и покрышки новые авиационные,  камеры резиновые, ободные ленты, взаимозаменяемые протекторы,  а также шины бывшие в употреблении и восстановленные.</w:t>
      </w:r>
    </w:p>
    <w:p w:rsidR="0051624C" w:rsidRPr="00E448E7" w:rsidRDefault="0051624C" w:rsidP="0051624C">
      <w:pPr>
        <w:spacing w:after="0"/>
        <w:ind w:firstLine="540"/>
        <w:jc w:val="both"/>
        <w:rPr>
          <w:rFonts w:cs="Times New Roman"/>
          <w:shd w:val="clear" w:color="auto" w:fill="ECF1F7"/>
        </w:rPr>
      </w:pPr>
      <w:r w:rsidRPr="00E448E7">
        <w:rPr>
          <w:rFonts w:cs="Times New Roman"/>
        </w:rPr>
        <w:t xml:space="preserve">Система маркировки состоит из кода </w:t>
      </w:r>
      <w:proofErr w:type="spellStart"/>
      <w:r w:rsidRPr="00E448E7">
        <w:rPr>
          <w:rFonts w:cs="Times New Roman"/>
        </w:rPr>
        <w:t>DataMatrix</w:t>
      </w:r>
      <w:proofErr w:type="spellEnd"/>
      <w:r w:rsidRPr="00E448E7">
        <w:rPr>
          <w:rFonts w:cs="Times New Roman"/>
        </w:rPr>
        <w:t xml:space="preserve"> – это уникальный штрих-код, который наносится на шины и может быть считываем при помощи мобильных приложений или специализированных устройств. Этот код содержит информацию о производителе, дате изготовления и других важных характеристиках.</w:t>
      </w:r>
    </w:p>
    <w:p w:rsidR="0051624C" w:rsidRPr="00E448E7" w:rsidRDefault="006E4B1A" w:rsidP="0051624C">
      <w:pPr>
        <w:spacing w:after="0"/>
        <w:ind w:firstLine="539"/>
        <w:jc w:val="both"/>
        <w:rPr>
          <w:rFonts w:eastAsia="Times New Roman" w:cs="Times New Roman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1734820</wp:posOffset>
            </wp:positionH>
            <wp:positionV relativeFrom="paragraph">
              <wp:posOffset>187325</wp:posOffset>
            </wp:positionV>
            <wp:extent cx="1104900" cy="1089025"/>
            <wp:effectExtent l="0" t="0" r="0" b="0"/>
            <wp:wrapTight wrapText="bothSides">
              <wp:wrapPolygon edited="0">
                <wp:start x="0" y="0"/>
                <wp:lineTo x="0" y="21159"/>
                <wp:lineTo x="21228" y="21159"/>
                <wp:lineTo x="21228" y="0"/>
                <wp:lineTo x="0" y="0"/>
              </wp:wrapPolygon>
            </wp:wrapTight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624C" w:rsidRPr="00E448E7">
        <w:rPr>
          <w:rFonts w:cs="Times New Roman"/>
          <w:shd w:val="clear" w:color="auto" w:fill="FFFFFF"/>
        </w:rPr>
        <w:t>Место нанесения идентификатора на шину законодательством не регламентировано, с</w:t>
      </w:r>
      <w:r w:rsidR="0051624C" w:rsidRPr="00E448E7">
        <w:rPr>
          <w:rFonts w:eastAsia="Times New Roman" w:cs="Times New Roman"/>
          <w:lang w:eastAsia="ru-RU"/>
        </w:rPr>
        <w:t xml:space="preserve">редство идентификации </w:t>
      </w:r>
      <w:r w:rsidR="0051624C" w:rsidRPr="00E448E7">
        <w:rPr>
          <w:rFonts w:cs="Times New Roman"/>
          <w:shd w:val="clear" w:color="auto" w:fill="FFFFFF"/>
        </w:rPr>
        <w:t xml:space="preserve">код </w:t>
      </w:r>
      <w:proofErr w:type="spellStart"/>
      <w:r w:rsidR="0051624C" w:rsidRPr="00E448E7">
        <w:rPr>
          <w:rFonts w:cs="Times New Roman"/>
          <w:shd w:val="clear" w:color="auto" w:fill="FFFFFF"/>
        </w:rPr>
        <w:t>DataMatrix</w:t>
      </w:r>
      <w:r w:rsidR="0051624C" w:rsidRPr="00E448E7">
        <w:rPr>
          <w:rFonts w:eastAsia="Times New Roman" w:cs="Times New Roman"/>
          <w:lang w:eastAsia="ru-RU"/>
        </w:rPr>
        <w:t>наносится</w:t>
      </w:r>
      <w:proofErr w:type="spellEnd"/>
      <w:r w:rsidR="0051624C" w:rsidRPr="00E448E7">
        <w:rPr>
          <w:rFonts w:eastAsia="Times New Roman" w:cs="Times New Roman"/>
          <w:lang w:eastAsia="ru-RU"/>
        </w:rPr>
        <w:t xml:space="preserve"> на протектор или боковую поверхность шины посредством товарной этикетки методом, не допускающим отделения средства идентификации от шин или от товарной этикетки без повреждений, </w:t>
      </w:r>
      <w:proofErr w:type="gramStart"/>
      <w:r w:rsidR="0051624C" w:rsidRPr="00E448E7">
        <w:rPr>
          <w:rFonts w:eastAsia="Times New Roman" w:cs="Times New Roman"/>
          <w:lang w:eastAsia="ru-RU"/>
        </w:rPr>
        <w:t>либо  код</w:t>
      </w:r>
      <w:proofErr w:type="gramEnd"/>
      <w:r w:rsidR="0051624C" w:rsidRPr="00E448E7">
        <w:rPr>
          <w:rFonts w:eastAsia="Times New Roman" w:cs="Times New Roman"/>
          <w:lang w:eastAsia="ru-RU"/>
        </w:rPr>
        <w:t xml:space="preserve">  внедряется непосредственно в саму шину.</w:t>
      </w:r>
    </w:p>
    <w:p w:rsidR="00E448E7" w:rsidRDefault="0051624C" w:rsidP="006E4B1A">
      <w:pPr>
        <w:shd w:val="clear" w:color="auto" w:fill="FFFFFF" w:themeFill="background1"/>
        <w:spacing w:after="0"/>
        <w:jc w:val="both"/>
        <w:rPr>
          <w:rFonts w:eastAsia="Times New Roman" w:cs="Times New Roman"/>
          <w:lang w:eastAsia="ru-RU"/>
        </w:rPr>
      </w:pPr>
      <w:r w:rsidRPr="00E448E7">
        <w:rPr>
          <w:rFonts w:eastAsia="Times New Roman" w:cs="Times New Roman"/>
          <w:lang w:eastAsia="ru-RU"/>
        </w:rPr>
        <w:t>Обращаем внимание, что средство идентификации не должно печататься на прозрачной оберточной пленке или каком-либо другом внешнем оберточном материале и перекрываться другой информацией.</w:t>
      </w:r>
    </w:p>
    <w:p w:rsidR="0051624C" w:rsidRPr="00E448E7" w:rsidRDefault="00E448E7" w:rsidP="0051624C">
      <w:pPr>
        <w:shd w:val="clear" w:color="auto" w:fill="FFFFFF" w:themeFill="background1"/>
        <w:spacing w:after="0"/>
        <w:ind w:firstLine="54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Многих потребителей интересует вопрос</w:t>
      </w:r>
      <w:r w:rsidR="009A1B6B">
        <w:rPr>
          <w:rFonts w:eastAsia="Times New Roman" w:cs="Times New Roman"/>
          <w:lang w:eastAsia="ru-RU"/>
        </w:rPr>
        <w:t>:</w:t>
      </w:r>
      <w:r>
        <w:rPr>
          <w:rFonts w:eastAsia="Times New Roman" w:cs="Times New Roman"/>
          <w:lang w:eastAsia="ru-RU"/>
        </w:rPr>
        <w:t xml:space="preserve"> «Возможно ли вернуть </w:t>
      </w:r>
      <w:r w:rsidR="00B419FE">
        <w:rPr>
          <w:rFonts w:eastAsia="Times New Roman" w:cs="Times New Roman"/>
          <w:lang w:eastAsia="ru-RU"/>
        </w:rPr>
        <w:t xml:space="preserve">продавцу </w:t>
      </w:r>
      <w:r>
        <w:rPr>
          <w:rFonts w:eastAsia="Times New Roman" w:cs="Times New Roman"/>
          <w:lang w:eastAsia="ru-RU"/>
        </w:rPr>
        <w:t>товар</w:t>
      </w:r>
      <w:r w:rsidR="00277475">
        <w:rPr>
          <w:rFonts w:eastAsia="Times New Roman" w:cs="Times New Roman"/>
          <w:lang w:eastAsia="ru-RU"/>
        </w:rPr>
        <w:t>,</w:t>
      </w:r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имеющийсредство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gramStart"/>
      <w:r>
        <w:rPr>
          <w:rFonts w:eastAsia="Times New Roman" w:cs="Times New Roman"/>
          <w:lang w:eastAsia="ru-RU"/>
        </w:rPr>
        <w:t>идентификации,  если</w:t>
      </w:r>
      <w:proofErr w:type="gramEnd"/>
      <w:r>
        <w:rPr>
          <w:rFonts w:eastAsia="Times New Roman" w:cs="Times New Roman"/>
          <w:lang w:eastAsia="ru-RU"/>
        </w:rPr>
        <w:t xml:space="preserve"> он не подошел по размеру?» </w:t>
      </w:r>
    </w:p>
    <w:p w:rsidR="0051624C" w:rsidRPr="00E448E7" w:rsidRDefault="00E448E7" w:rsidP="0051624C">
      <w:pPr>
        <w:spacing w:after="0"/>
        <w:ind w:firstLine="540"/>
        <w:jc w:val="both"/>
        <w:rPr>
          <w:rFonts w:cs="Times New Roman"/>
          <w:shd w:val="clear" w:color="auto" w:fill="ECF1F7"/>
        </w:rPr>
      </w:pPr>
      <w:r>
        <w:rPr>
          <w:rFonts w:eastAsia="Times New Roman" w:cs="Times New Roman"/>
          <w:lang w:eastAsia="ru-RU"/>
        </w:rPr>
        <w:t>Так, в</w:t>
      </w:r>
      <w:r w:rsidR="0051624C" w:rsidRPr="00E448E7">
        <w:rPr>
          <w:rFonts w:eastAsia="Times New Roman" w:cs="Times New Roman"/>
          <w:lang w:eastAsia="ru-RU"/>
        </w:rPr>
        <w:t xml:space="preserve"> консультационный центр обратился потребитель с вопросом о </w:t>
      </w:r>
      <w:proofErr w:type="gramStart"/>
      <w:r w:rsidR="0051624C" w:rsidRPr="00E448E7">
        <w:rPr>
          <w:rFonts w:eastAsia="Times New Roman" w:cs="Times New Roman"/>
          <w:lang w:eastAsia="ru-RU"/>
        </w:rPr>
        <w:t xml:space="preserve">законности </w:t>
      </w:r>
      <w:r w:rsidR="00E85C60">
        <w:rPr>
          <w:rFonts w:eastAsia="Times New Roman" w:cs="Times New Roman"/>
          <w:lang w:eastAsia="ru-RU"/>
        </w:rPr>
        <w:t xml:space="preserve"> отказа</w:t>
      </w:r>
      <w:proofErr w:type="gramEnd"/>
      <w:r w:rsidR="00E85C60">
        <w:rPr>
          <w:rFonts w:eastAsia="Times New Roman" w:cs="Times New Roman"/>
          <w:lang w:eastAsia="ru-RU"/>
        </w:rPr>
        <w:t xml:space="preserve"> Продавца </w:t>
      </w:r>
      <w:r w:rsidR="0051624C" w:rsidRPr="00E448E7">
        <w:rPr>
          <w:rFonts w:cs="Times New Roman"/>
        </w:rPr>
        <w:t xml:space="preserve">в обмене ранее купленной шины с кодом </w:t>
      </w:r>
      <w:proofErr w:type="spellStart"/>
      <w:r w:rsidR="0051624C" w:rsidRPr="00E448E7">
        <w:rPr>
          <w:rFonts w:cs="Times New Roman"/>
        </w:rPr>
        <w:t>DataMatrix</w:t>
      </w:r>
      <w:proofErr w:type="spellEnd"/>
      <w:r w:rsidR="0051624C" w:rsidRPr="00E448E7">
        <w:rPr>
          <w:rFonts w:cs="Times New Roman"/>
        </w:rPr>
        <w:t>, которая не подошла по размеру. Продавец мотивировал свой отказ тем, что шина была выведена из обращения в системе «Честный знак», и ее код нельзя восстановить.</w:t>
      </w:r>
    </w:p>
    <w:p w:rsidR="0051624C" w:rsidRPr="006E4B1A" w:rsidRDefault="00E85C60" w:rsidP="0051624C">
      <w:pPr>
        <w:shd w:val="clear" w:color="auto" w:fill="FFFFFF" w:themeFill="background1"/>
        <w:spacing w:after="0"/>
        <w:ind w:firstLine="540"/>
        <w:jc w:val="both"/>
        <w:rPr>
          <w:rFonts w:cs="Times New Roman"/>
          <w:shd w:val="clear" w:color="auto" w:fill="ECF1F7"/>
        </w:rPr>
      </w:pPr>
      <w:r w:rsidRPr="006E4B1A">
        <w:rPr>
          <w:rFonts w:cs="Times New Roman"/>
        </w:rPr>
        <w:t>В рассматриваемом случае, к</w:t>
      </w:r>
      <w:r w:rsidR="0051624C" w:rsidRPr="006E4B1A">
        <w:rPr>
          <w:rFonts w:cs="Times New Roman"/>
        </w:rPr>
        <w:t xml:space="preserve">од </w:t>
      </w:r>
      <w:proofErr w:type="spellStart"/>
      <w:r w:rsidR="0051624C" w:rsidRPr="006E4B1A">
        <w:rPr>
          <w:rFonts w:cs="Times New Roman"/>
        </w:rPr>
        <w:t>DataMatrix</w:t>
      </w:r>
      <w:proofErr w:type="spellEnd"/>
      <w:r w:rsidR="0051624C" w:rsidRPr="006E4B1A">
        <w:rPr>
          <w:rFonts w:cs="Times New Roman"/>
        </w:rPr>
        <w:t xml:space="preserve">, </w:t>
      </w:r>
      <w:bookmarkStart w:id="0" w:name="_Hlk179984465"/>
      <w:r w:rsidRPr="006E4B1A">
        <w:rPr>
          <w:rFonts w:cs="Times New Roman"/>
        </w:rPr>
        <w:t>наносимый</w:t>
      </w:r>
      <w:bookmarkEnd w:id="0"/>
      <w:r w:rsidR="0051624C" w:rsidRPr="006E4B1A">
        <w:rPr>
          <w:rFonts w:cs="Times New Roman"/>
        </w:rPr>
        <w:t xml:space="preserve"> на шину, предназначен исключительно для отслеживания товара и не является препятствием для возврата.</w:t>
      </w:r>
    </w:p>
    <w:p w:rsidR="0051624C" w:rsidRPr="00E448E7" w:rsidRDefault="0051624C" w:rsidP="0051624C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40"/>
        <w:jc w:val="both"/>
        <w:rPr>
          <w:rFonts w:asciiTheme="minorHAnsi" w:hAnsiTheme="minorHAnsi"/>
          <w:sz w:val="22"/>
          <w:szCs w:val="22"/>
        </w:rPr>
      </w:pPr>
      <w:r w:rsidRPr="006E4B1A">
        <w:rPr>
          <w:rFonts w:asciiTheme="minorHAnsi" w:hAnsiTheme="minorHAnsi"/>
          <w:sz w:val="22"/>
          <w:szCs w:val="22"/>
        </w:rPr>
        <w:t xml:space="preserve">По общему правилу, установленному статьей 25 Закона </w:t>
      </w:r>
      <w:r w:rsidR="00372B78">
        <w:rPr>
          <w:rFonts w:asciiTheme="minorHAnsi" w:hAnsiTheme="minorHAnsi"/>
          <w:sz w:val="22"/>
          <w:szCs w:val="22"/>
        </w:rPr>
        <w:t xml:space="preserve"> о защите прав потребителей </w:t>
      </w:r>
      <w:r w:rsidRPr="006E4B1A">
        <w:rPr>
          <w:rFonts w:asciiTheme="minorHAnsi" w:hAnsiTheme="minorHAnsi"/>
          <w:sz w:val="22"/>
          <w:szCs w:val="22"/>
        </w:rPr>
        <w:t xml:space="preserve">потребитель вправе обменять непродовольственный </w:t>
      </w:r>
      <w:r w:rsidRPr="00E448E7">
        <w:rPr>
          <w:rFonts w:asciiTheme="minorHAnsi" w:hAnsiTheme="minorHAnsi"/>
          <w:sz w:val="22"/>
          <w:szCs w:val="22"/>
        </w:rPr>
        <w:t>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</w:t>
      </w:r>
    </w:p>
    <w:p w:rsidR="00372B78" w:rsidRPr="00372B78" w:rsidRDefault="00372B78" w:rsidP="00372B78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40"/>
        <w:jc w:val="both"/>
        <w:rPr>
          <w:rFonts w:asciiTheme="minorHAnsi" w:hAnsiTheme="minorHAnsi"/>
          <w:sz w:val="22"/>
          <w:szCs w:val="22"/>
        </w:rPr>
      </w:pPr>
      <w:bookmarkStart w:id="1" w:name="_Hlk180485575"/>
      <w:r w:rsidRPr="00372B78">
        <w:rPr>
          <w:rFonts w:asciiTheme="minorHAnsi" w:hAnsiTheme="minorHAnsi"/>
          <w:sz w:val="22"/>
          <w:szCs w:val="22"/>
        </w:rPr>
        <w:t xml:space="preserve">Потребитель имеет право на обмен непродовольственного товара надлежащего </w:t>
      </w:r>
      <w:r w:rsidRPr="00372B78">
        <w:rPr>
          <w:rFonts w:asciiTheme="minorHAnsi" w:hAnsiTheme="minorHAnsi"/>
          <w:sz w:val="22"/>
          <w:szCs w:val="22"/>
        </w:rPr>
        <w:lastRenderedPageBreak/>
        <w:t xml:space="preserve">качества в течение четырнадцати дней, не считая дня его покупки. </w:t>
      </w:r>
    </w:p>
    <w:p w:rsidR="00372B78" w:rsidRPr="00372B78" w:rsidRDefault="00372B78" w:rsidP="00372B78">
      <w:pPr>
        <w:spacing w:after="0"/>
        <w:ind w:firstLine="540"/>
        <w:jc w:val="both"/>
        <w:rPr>
          <w:rFonts w:cs="Arial"/>
        </w:rPr>
      </w:pPr>
      <w:r w:rsidRPr="00372B78">
        <w:rPr>
          <w:rFonts w:cs="Arial"/>
        </w:rPr>
        <w:t>Обмен возможен, если товар не использовался, сохранены товарный вид, потребительские свойства, пломбы, фабричные ярлыки, а также имеется товарный или кассовый чек либо другой документ, подтверждающий оплату. Отсутствие чека не лишает потребителя возможности ссылаться на свидетельские показания.</w:t>
      </w:r>
    </w:p>
    <w:bookmarkEnd w:id="1"/>
    <w:p w:rsidR="0051624C" w:rsidRPr="00E448E7" w:rsidRDefault="0051624C" w:rsidP="00372B78">
      <w:pPr>
        <w:spacing w:after="0"/>
        <w:ind w:firstLine="540"/>
        <w:jc w:val="both"/>
        <w:rPr>
          <w:rFonts w:cs="Times New Roman"/>
        </w:rPr>
      </w:pPr>
      <w:r w:rsidRPr="00E448E7">
        <w:rPr>
          <w:rFonts w:cs="Times New Roman"/>
        </w:rPr>
        <w:t xml:space="preserve">При возврате шин потребителем с неповрежденным средством идентификации, продавец обязан ввести код </w:t>
      </w:r>
      <w:r w:rsidR="00E448E7" w:rsidRPr="00E448E7">
        <w:rPr>
          <w:rFonts w:cs="Times New Roman"/>
        </w:rPr>
        <w:t xml:space="preserve">товара </w:t>
      </w:r>
      <w:r w:rsidRPr="00E448E7">
        <w:rPr>
          <w:rFonts w:cs="Times New Roman"/>
        </w:rPr>
        <w:t xml:space="preserve">в информационную систему. В случае возврата шин с утраченным или поврежденным средством идентификации, производится </w:t>
      </w:r>
      <w:proofErr w:type="spellStart"/>
      <w:r w:rsidRPr="00E448E7">
        <w:rPr>
          <w:rFonts w:cs="Times New Roman"/>
        </w:rPr>
        <w:t>перемаркировка</w:t>
      </w:r>
      <w:proofErr w:type="spellEnd"/>
      <w:r w:rsidRPr="00E448E7">
        <w:rPr>
          <w:rFonts w:cs="Times New Roman"/>
        </w:rPr>
        <w:t xml:space="preserve"> таких шин в порядке, установленном Правилами маркировки шин.</w:t>
      </w:r>
    </w:p>
    <w:p w:rsidR="0051624C" w:rsidRPr="00372B78" w:rsidRDefault="00372B78" w:rsidP="0051624C">
      <w:pPr>
        <w:spacing w:after="0"/>
        <w:ind w:firstLine="540"/>
        <w:jc w:val="both"/>
        <w:rPr>
          <w:rFonts w:cs="Times New Roman"/>
        </w:rPr>
      </w:pPr>
      <w:bookmarkStart w:id="2" w:name="_Hlk180485035"/>
      <w:r w:rsidRPr="00372B78">
        <w:rPr>
          <w:rFonts w:cs="Arial"/>
        </w:rPr>
        <w:t xml:space="preserve">Возвращенные шины, прошедшие все необходимые этапы </w:t>
      </w:r>
      <w:proofErr w:type="spellStart"/>
      <w:r w:rsidRPr="00372B78">
        <w:rPr>
          <w:rFonts w:cs="Arial"/>
        </w:rPr>
        <w:t>перемаркировки</w:t>
      </w:r>
      <w:proofErr w:type="spellEnd"/>
      <w:r w:rsidRPr="00372B78">
        <w:rPr>
          <w:rFonts w:cs="Arial"/>
        </w:rPr>
        <w:t>, могут быть вновь реализованы</w:t>
      </w:r>
      <w:r w:rsidR="0051624C" w:rsidRPr="00372B78">
        <w:rPr>
          <w:rFonts w:cs="Times New Roman"/>
        </w:rPr>
        <w:t>.</w:t>
      </w:r>
    </w:p>
    <w:bookmarkEnd w:id="2"/>
    <w:p w:rsidR="00E85C60" w:rsidRPr="006E4B1A" w:rsidRDefault="00372B78" w:rsidP="00372B78">
      <w:pPr>
        <w:spacing w:after="0"/>
        <w:ind w:firstLine="540"/>
        <w:jc w:val="both"/>
        <w:rPr>
          <w:rFonts w:cs="Times New Roman"/>
        </w:rPr>
      </w:pPr>
      <w:r w:rsidRPr="00372B78">
        <w:rPr>
          <w:rFonts w:cs="Times New Roman"/>
        </w:rPr>
        <w:t xml:space="preserve">В рассматриваемом случае, отказ продавца в возврате товара является неправомерным, и покупатель имеет все права на защиту своих интересов, в том числе </w:t>
      </w:r>
      <w:r w:rsidR="00201AE0">
        <w:rPr>
          <w:rFonts w:cs="Times New Roman"/>
        </w:rPr>
        <w:t xml:space="preserve">на </w:t>
      </w:r>
      <w:r w:rsidRPr="00372B78">
        <w:rPr>
          <w:rFonts w:cs="Times New Roman"/>
        </w:rPr>
        <w:t xml:space="preserve">обращение  в </w:t>
      </w:r>
      <w:proofErr w:type="spellStart"/>
      <w:r w:rsidRPr="00372B78">
        <w:rPr>
          <w:rFonts w:cs="Times New Roman"/>
        </w:rPr>
        <w:t>Роспотребнадзор</w:t>
      </w:r>
      <w:proofErr w:type="spellEnd"/>
      <w:r w:rsidRPr="00372B78">
        <w:rPr>
          <w:rFonts w:cs="Times New Roman"/>
        </w:rPr>
        <w:t>, или в суд.</w:t>
      </w:r>
    </w:p>
    <w:p w:rsidR="00E85C60" w:rsidRPr="00E448E7" w:rsidRDefault="00E85C60" w:rsidP="0051624C">
      <w:pPr>
        <w:spacing w:after="0"/>
        <w:ind w:firstLine="540"/>
        <w:jc w:val="both"/>
        <w:rPr>
          <w:rFonts w:cs="Times New Roman"/>
        </w:rPr>
      </w:pPr>
    </w:p>
    <w:p w:rsidR="002470A2" w:rsidRPr="00C47C6E" w:rsidRDefault="002470A2" w:rsidP="00477825">
      <w:pPr>
        <w:spacing w:after="0" w:line="160" w:lineRule="atLeast"/>
        <w:jc w:val="right"/>
        <w:rPr>
          <w:rFonts w:cs="Times New Roman"/>
          <w:i/>
          <w:sz w:val="20"/>
          <w:szCs w:val="20"/>
        </w:rPr>
      </w:pPr>
      <w:r w:rsidRPr="00C47C6E">
        <w:rPr>
          <w:rFonts w:cs="Times New Roman"/>
          <w:i/>
          <w:sz w:val="20"/>
          <w:szCs w:val="20"/>
        </w:rPr>
        <w:t>Информация подготовлена</w:t>
      </w:r>
    </w:p>
    <w:p w:rsidR="00B6724B" w:rsidRPr="002470A2" w:rsidRDefault="002470A2" w:rsidP="00477825">
      <w:pPr>
        <w:widowControl w:val="0"/>
        <w:autoSpaceDE w:val="0"/>
        <w:autoSpaceDN w:val="0"/>
        <w:adjustRightInd w:val="0"/>
        <w:spacing w:after="0" w:line="160" w:lineRule="atLeast"/>
        <w:ind w:right="142"/>
        <w:jc w:val="right"/>
        <w:rPr>
          <w:rFonts w:cs="Times New Roman"/>
          <w:b/>
          <w:bCs/>
          <w:sz w:val="20"/>
          <w:szCs w:val="20"/>
        </w:rPr>
      </w:pPr>
      <w:r w:rsidRPr="00C47C6E">
        <w:rPr>
          <w:rFonts w:cs="Times New Roman"/>
          <w:i/>
          <w:sz w:val="20"/>
          <w:szCs w:val="20"/>
        </w:rPr>
        <w:t>с использованием СПС Консультант Плюс</w:t>
      </w:r>
      <w:r w:rsidR="007D5FD9">
        <w:rPr>
          <w:rFonts w:cs="Times New Roman"/>
          <w:i/>
          <w:sz w:val="20"/>
          <w:szCs w:val="20"/>
        </w:rPr>
        <w:t xml:space="preserve">, </w:t>
      </w:r>
      <w:r w:rsidR="00FA52FE">
        <w:rPr>
          <w:rFonts w:cs="Times New Roman"/>
          <w:i/>
          <w:sz w:val="20"/>
          <w:szCs w:val="20"/>
        </w:rPr>
        <w:t>государственной системы цифровой маркировки «Честный знак»</w:t>
      </w:r>
    </w:p>
    <w:p w:rsidR="001B5FB3" w:rsidRDefault="001B5FB3" w:rsidP="00277475">
      <w:pPr>
        <w:jc w:val="center"/>
        <w:rPr>
          <w:rFonts w:cs="Times New Roman"/>
          <w:b/>
        </w:rPr>
      </w:pPr>
    </w:p>
    <w:p w:rsidR="001B5FB3" w:rsidRDefault="001B5FB3" w:rsidP="00277475">
      <w:pPr>
        <w:jc w:val="center"/>
        <w:rPr>
          <w:rFonts w:cs="Times New Roman"/>
          <w:b/>
        </w:rPr>
      </w:pPr>
    </w:p>
    <w:p w:rsidR="00C47C6E" w:rsidRPr="009C0278" w:rsidRDefault="00277475" w:rsidP="00923846">
      <w:pPr>
        <w:spacing w:after="0" w:line="240" w:lineRule="auto"/>
        <w:jc w:val="center"/>
      </w:pPr>
      <w:r w:rsidRPr="0031017C">
        <w:rPr>
          <w:rFonts w:cs="Times New Roman"/>
          <w:b/>
        </w:rPr>
        <w:t>Ждем Вас по адресам:</w:t>
      </w:r>
    </w:p>
    <w:tbl>
      <w:tblPr>
        <w:tblpPr w:leftFromText="180" w:rightFromText="180" w:vertAnchor="text" w:horzAnchor="margin" w:tblpXSpec="center" w:tblpY="581"/>
        <w:tblW w:w="4539" w:type="dxa"/>
        <w:tblLook w:val="04A0" w:firstRow="1" w:lastRow="0" w:firstColumn="1" w:lastColumn="0" w:noHBand="0" w:noVBand="1"/>
      </w:tblPr>
      <w:tblGrid>
        <w:gridCol w:w="4539"/>
      </w:tblGrid>
      <w:tr w:rsidR="001B5FB3" w:rsidRPr="00FD722C" w:rsidTr="00923846">
        <w:trPr>
          <w:trHeight w:val="615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FB3" w:rsidRPr="00FD722C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1B5FB3" w:rsidRPr="00FD722C" w:rsidTr="00923846">
        <w:trPr>
          <w:trHeight w:val="346"/>
        </w:trPr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FB3" w:rsidRPr="00FD722C" w:rsidRDefault="001B5FB3" w:rsidP="00923846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(обращаться 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1B5FB3" w:rsidRPr="00FD722C" w:rsidTr="00923846">
        <w:trPr>
          <w:trHeight w:val="473"/>
        </w:trPr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FB3" w:rsidRPr="00FD722C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г.Усолье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-Сибирское,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:rsidR="001B5FB3" w:rsidRPr="00FD722C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1B5FB3" w:rsidRPr="00FD722C" w:rsidTr="00923846">
        <w:trPr>
          <w:trHeight w:val="250"/>
        </w:trPr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FB3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г.Черемхово,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ул.Плеханова, 1, тел. 8(395-46)5-66-38,</w:t>
            </w:r>
          </w:p>
          <w:p w:rsidR="001B5FB3" w:rsidRPr="00FD722C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1B5FB3" w:rsidRPr="00FD722C" w:rsidTr="00923846">
        <w:trPr>
          <w:trHeight w:val="366"/>
        </w:trPr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FB3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г.Саянск, 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микрорайон Благовещенский,</w:t>
            </w:r>
          </w:p>
          <w:p w:rsidR="001B5FB3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д.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5 </w:t>
            </w:r>
            <w:proofErr w:type="spellStart"/>
            <w:proofErr w:type="gram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А,тел</w:t>
            </w:r>
            <w:proofErr w:type="spell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 8(395-53) 5-10-20, 5-24-89,</w:t>
            </w:r>
          </w:p>
          <w:p w:rsidR="001B5FB3" w:rsidRPr="00FD722C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1B5FB3" w:rsidRPr="00FD722C" w:rsidTr="00923846">
        <w:trPr>
          <w:trHeight w:val="346"/>
        </w:trPr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FB3" w:rsidRPr="00FD722C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(обращаться 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1B5FB3" w:rsidRPr="00FD722C" w:rsidTr="00923846">
        <w:trPr>
          <w:trHeight w:val="442"/>
        </w:trPr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FB3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ул.Виноградова, 21, тел.8(395-30)2-10-20</w:t>
            </w:r>
          </w:p>
          <w:p w:rsidR="001B5FB3" w:rsidRPr="00FD722C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1B5FB3" w:rsidRPr="00FD722C" w:rsidTr="00923846">
        <w:trPr>
          <w:trHeight w:val="256"/>
        </w:trPr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FB3" w:rsidRPr="00FD722C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Алейная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:rsidR="001B5FB3" w:rsidRPr="00FD722C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1B5FB3" w:rsidRPr="00FD722C" w:rsidTr="00923846">
        <w:trPr>
          <w:trHeight w:val="380"/>
        </w:trPr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FB3" w:rsidRPr="00FD722C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ул.Старобазарная</w:t>
            </w:r>
            <w:proofErr w:type="spellEnd"/>
            <w:proofErr w:type="gram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1B5FB3" w:rsidRPr="00FD722C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1B5FB3" w:rsidRPr="00FD722C" w:rsidTr="00923846">
        <w:trPr>
          <w:trHeight w:val="433"/>
        </w:trPr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FB3" w:rsidRDefault="001B5FB3" w:rsidP="00923846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5B3044">
              <w:rPr>
                <w:rFonts w:eastAsia="Times New Roman" w:cs="Times New Roman"/>
                <w:lang w:eastAsia="ru-RU"/>
              </w:rPr>
              <w:t xml:space="preserve"> ул. </w:t>
            </w:r>
            <w:proofErr w:type="spellStart"/>
            <w:r w:rsidRPr="005B3044">
              <w:rPr>
                <w:rFonts w:eastAsia="Times New Roman" w:cs="Times New Roman"/>
                <w:lang w:eastAsia="ru-RU"/>
              </w:rPr>
              <w:t>Муханова</w:t>
            </w:r>
            <w:proofErr w:type="spellEnd"/>
            <w:r w:rsidRPr="005B3044">
              <w:rPr>
                <w:rFonts w:eastAsia="Times New Roman" w:cs="Times New Roman"/>
                <w:lang w:eastAsia="ru-RU"/>
              </w:rPr>
              <w:t>, 20, тел. 8(395-3</w:t>
            </w:r>
            <w:proofErr w:type="gramStart"/>
            <w:r w:rsidRPr="005B3044">
              <w:rPr>
                <w:rFonts w:eastAsia="Times New Roman" w:cs="Times New Roman"/>
                <w:lang w:eastAsia="ru-RU"/>
              </w:rPr>
              <w:t>)  42</w:t>
            </w:r>
            <w:proofErr w:type="gramEnd"/>
            <w:r w:rsidRPr="005B3044">
              <w:rPr>
                <w:rFonts w:eastAsia="Times New Roman" w:cs="Times New Roman"/>
                <w:lang w:eastAsia="ru-RU"/>
              </w:rPr>
              <w:t>-57-50</w:t>
            </w:r>
          </w:p>
          <w:p w:rsidR="001B5FB3" w:rsidRPr="00FD722C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bratsk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1B5FB3" w:rsidRPr="00FD722C" w:rsidTr="00923846">
        <w:trPr>
          <w:trHeight w:val="514"/>
        </w:trPr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FB3" w:rsidRPr="00FD722C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г.Иркутск, г.Усть-Кут)</w:t>
            </w:r>
          </w:p>
        </w:tc>
      </w:tr>
      <w:tr w:rsidR="001B5FB3" w:rsidRPr="00FD722C" w:rsidTr="00923846">
        <w:trPr>
          <w:trHeight w:val="621"/>
        </w:trPr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FB3" w:rsidRPr="00FD722C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:rsidR="001B5FB3" w:rsidRPr="00FD722C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1B5FB3" w:rsidRPr="00FD722C" w:rsidTr="00923846">
        <w:trPr>
          <w:trHeight w:val="408"/>
        </w:trPr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FB3" w:rsidRPr="00FD722C" w:rsidRDefault="001B5FB3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1B5FB3" w:rsidRPr="00FD722C" w:rsidTr="00923846">
        <w:trPr>
          <w:trHeight w:val="500"/>
        </w:trPr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FB3" w:rsidRPr="00FD722C" w:rsidRDefault="001B5FB3" w:rsidP="00923846">
            <w:pPr>
              <w:pStyle w:val="a3"/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пер.1 Октябрьский, 15 тел. 8 (395-41) 3-10-78, </w:t>
            </w:r>
          </w:p>
          <w:p w:rsidR="001B5FB3" w:rsidRPr="00FD722C" w:rsidRDefault="00923846" w:rsidP="0092384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hyperlink r:id="rId10" w:history="1">
              <w:r w:rsidR="001B5FB3" w:rsidRPr="00FD722C">
                <w:rPr>
                  <w:rStyle w:val="a4"/>
                  <w:rFonts w:ascii="Comic Sans MS" w:hAnsi="Comic Sans MS" w:cs="Times New Roman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C47C6E" w:rsidRPr="00CF48BE" w:rsidRDefault="00C47C6E" w:rsidP="00C47C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32"/>
          <w:szCs w:val="32"/>
        </w:rPr>
      </w:pPr>
      <w:r w:rsidRPr="00CF48BE">
        <w:rPr>
          <w:rFonts w:cs="Times New Roman"/>
          <w:b/>
          <w:bCs/>
          <w:sz w:val="32"/>
          <w:szCs w:val="32"/>
        </w:rPr>
        <w:t>ФБУЗ «Центр гигиены и эпидемиологии</w:t>
      </w:r>
    </w:p>
    <w:p w:rsidR="00C47C6E" w:rsidRPr="00CF48BE" w:rsidRDefault="00C47C6E" w:rsidP="00C47C6E">
      <w:pPr>
        <w:shd w:val="clear" w:color="auto" w:fill="FFFFFF"/>
        <w:spacing w:after="150" w:line="240" w:lineRule="auto"/>
        <w:jc w:val="center"/>
        <w:outlineLvl w:val="1"/>
        <w:rPr>
          <w:rFonts w:eastAsia="Times New Roman" w:cs="Times New Roman"/>
          <w:b/>
          <w:sz w:val="32"/>
          <w:szCs w:val="32"/>
          <w:lang w:eastAsia="ru-RU"/>
        </w:rPr>
      </w:pPr>
      <w:r w:rsidRPr="00CF48BE">
        <w:rPr>
          <w:rFonts w:cs="Times New Roman"/>
          <w:b/>
          <w:bCs/>
          <w:sz w:val="32"/>
          <w:szCs w:val="32"/>
        </w:rPr>
        <w:t>в Иркутской области»</w:t>
      </w:r>
    </w:p>
    <w:p w:rsidR="00B6724B" w:rsidRPr="0031017C" w:rsidRDefault="00B6724B" w:rsidP="000A1AD8">
      <w:pPr>
        <w:spacing w:after="0" w:line="240" w:lineRule="auto"/>
        <w:jc w:val="both"/>
      </w:pPr>
    </w:p>
    <w:p w:rsidR="00E95A2B" w:rsidRDefault="00E95A2B" w:rsidP="00E95A2B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</w:p>
    <w:p w:rsidR="00C65294" w:rsidRDefault="00CF48BE" w:rsidP="00670C52">
      <w:pPr>
        <w:pStyle w:val="a3"/>
        <w:spacing w:before="0" w:beforeAutospacing="0" w:after="0" w:afterAutospacing="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3289935" cy="2107095"/>
            <wp:effectExtent l="0" t="0" r="571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488" cy="212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C52" w:rsidRPr="00670C52" w:rsidRDefault="00670C52" w:rsidP="00670C52">
      <w:pPr>
        <w:pStyle w:val="a3"/>
        <w:spacing w:before="0" w:beforeAutospacing="0" w:after="0" w:afterAutospacing="0"/>
        <w:jc w:val="both"/>
        <w:rPr>
          <w:noProof/>
        </w:rPr>
      </w:pPr>
    </w:p>
    <w:p w:rsidR="00E85C60" w:rsidRPr="001B5FB3" w:rsidRDefault="00E85C60" w:rsidP="00E8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  <w:r w:rsidRPr="001B5FB3"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  <w:t>Честный знак для шин: безопасность и надежность</w:t>
      </w:r>
    </w:p>
    <w:p w:rsidR="00F420A3" w:rsidRPr="009C16FC" w:rsidRDefault="00F420A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923846" w:rsidRDefault="00923846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923846" w:rsidRDefault="00923846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923846" w:rsidRDefault="00923846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923846" w:rsidRDefault="00923846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923846" w:rsidRDefault="00923846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923846" w:rsidRDefault="00923846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923846" w:rsidRDefault="00923846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bookmarkStart w:id="3" w:name="_GoBack"/>
      <w:bookmarkEnd w:id="3"/>
    </w:p>
    <w:p w:rsidR="00923846" w:rsidRDefault="00923846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923846" w:rsidRDefault="00923846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1DD9" w:rsidRPr="00C13A02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Консультационный центр и пункты</w:t>
      </w:r>
    </w:p>
    <w:p w:rsidR="005F1DD9" w:rsidRPr="00C13A02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по защите прав потребителей</w:t>
      </w:r>
    </w:p>
    <w:p w:rsidR="005F1DD9" w:rsidRPr="00C13A02" w:rsidRDefault="005F1DD9" w:rsidP="005F1DD9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5F1DD9" w:rsidRPr="00C13A02" w:rsidRDefault="005F1DD9" w:rsidP="005F1DD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02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AF5C24" w:rsidRPr="00E57035" w:rsidRDefault="005F1DD9" w:rsidP="00BD6C10">
      <w:pPr>
        <w:jc w:val="center"/>
        <w:rPr>
          <w:color w:val="0070C0"/>
          <w:sz w:val="28"/>
          <w:szCs w:val="28"/>
          <w:lang w:val="en-US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 w:rsidR="00E5703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E57035" w:rsidSect="00B74CB4">
      <w:pgSz w:w="16838" w:h="11906" w:orient="landscape"/>
      <w:pgMar w:top="567" w:right="962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9.25pt;height:51pt;visibility:visible;mso-wrap-style:square" o:bullet="t">
        <v:imagedata r:id="rId1" o:title=""/>
      </v:shape>
    </w:pict>
  </w:numPicBullet>
  <w:abstractNum w:abstractNumId="0" w15:restartNumberingAfterBreak="0">
    <w:nsid w:val="11AF2BD5"/>
    <w:multiLevelType w:val="hybridMultilevel"/>
    <w:tmpl w:val="EE5CD678"/>
    <w:lvl w:ilvl="0" w:tplc="72EC6A0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8637AF"/>
    <w:multiLevelType w:val="hybridMultilevel"/>
    <w:tmpl w:val="03B0E75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41214"/>
    <w:multiLevelType w:val="hybridMultilevel"/>
    <w:tmpl w:val="548870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4" w15:restartNumberingAfterBreak="0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19"/>
  </w:num>
  <w:num w:numId="8">
    <w:abstractNumId w:val="16"/>
  </w:num>
  <w:num w:numId="9">
    <w:abstractNumId w:val="14"/>
  </w:num>
  <w:num w:numId="10">
    <w:abstractNumId w:val="18"/>
  </w:num>
  <w:num w:numId="11">
    <w:abstractNumId w:val="6"/>
  </w:num>
  <w:num w:numId="12">
    <w:abstractNumId w:val="15"/>
  </w:num>
  <w:num w:numId="13">
    <w:abstractNumId w:val="5"/>
  </w:num>
  <w:num w:numId="14">
    <w:abstractNumId w:val="9"/>
  </w:num>
  <w:num w:numId="15">
    <w:abstractNumId w:val="8"/>
  </w:num>
  <w:num w:numId="16">
    <w:abstractNumId w:val="7"/>
  </w:num>
  <w:num w:numId="17">
    <w:abstractNumId w:val="20"/>
  </w:num>
  <w:num w:numId="18">
    <w:abstractNumId w:val="4"/>
  </w:num>
  <w:num w:numId="19">
    <w:abstractNumId w:val="13"/>
  </w:num>
  <w:num w:numId="20">
    <w:abstractNumId w:val="1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741"/>
    <w:rsid w:val="00033010"/>
    <w:rsid w:val="000436E3"/>
    <w:rsid w:val="00054852"/>
    <w:rsid w:val="000A1AD8"/>
    <w:rsid w:val="000B653E"/>
    <w:rsid w:val="000C30A3"/>
    <w:rsid w:val="00112DC5"/>
    <w:rsid w:val="00174A2D"/>
    <w:rsid w:val="001B5FB3"/>
    <w:rsid w:val="001B7A49"/>
    <w:rsid w:val="001D245C"/>
    <w:rsid w:val="001D51E5"/>
    <w:rsid w:val="001E6F5B"/>
    <w:rsid w:val="00201AE0"/>
    <w:rsid w:val="00206B03"/>
    <w:rsid w:val="0021117E"/>
    <w:rsid w:val="00233A68"/>
    <w:rsid w:val="002355DF"/>
    <w:rsid w:val="0024050E"/>
    <w:rsid w:val="002470A2"/>
    <w:rsid w:val="00277475"/>
    <w:rsid w:val="00286170"/>
    <w:rsid w:val="002955BC"/>
    <w:rsid w:val="00297A2F"/>
    <w:rsid w:val="002C6F70"/>
    <w:rsid w:val="002D4BD7"/>
    <w:rsid w:val="00300806"/>
    <w:rsid w:val="0031017C"/>
    <w:rsid w:val="00322BF4"/>
    <w:rsid w:val="00370155"/>
    <w:rsid w:val="00372B78"/>
    <w:rsid w:val="00376E03"/>
    <w:rsid w:val="00377E25"/>
    <w:rsid w:val="003848C9"/>
    <w:rsid w:val="003B7A7B"/>
    <w:rsid w:val="003E0D6F"/>
    <w:rsid w:val="00431C7B"/>
    <w:rsid w:val="00455E72"/>
    <w:rsid w:val="00477825"/>
    <w:rsid w:val="004A0D47"/>
    <w:rsid w:val="004D1262"/>
    <w:rsid w:val="004E2430"/>
    <w:rsid w:val="004E7ECD"/>
    <w:rsid w:val="004F1950"/>
    <w:rsid w:val="004F23F1"/>
    <w:rsid w:val="0051624C"/>
    <w:rsid w:val="00524DA8"/>
    <w:rsid w:val="00534ABD"/>
    <w:rsid w:val="00563541"/>
    <w:rsid w:val="00575E53"/>
    <w:rsid w:val="005B3044"/>
    <w:rsid w:val="005B490B"/>
    <w:rsid w:val="005F1DD9"/>
    <w:rsid w:val="0062092C"/>
    <w:rsid w:val="00626D18"/>
    <w:rsid w:val="006451AF"/>
    <w:rsid w:val="00653B17"/>
    <w:rsid w:val="006654BF"/>
    <w:rsid w:val="006666F8"/>
    <w:rsid w:val="00670C52"/>
    <w:rsid w:val="006755FA"/>
    <w:rsid w:val="00696CE2"/>
    <w:rsid w:val="006C0840"/>
    <w:rsid w:val="006D2C21"/>
    <w:rsid w:val="006D7E52"/>
    <w:rsid w:val="006E4B1A"/>
    <w:rsid w:val="006E7BBA"/>
    <w:rsid w:val="006F46B8"/>
    <w:rsid w:val="0073269B"/>
    <w:rsid w:val="00764A10"/>
    <w:rsid w:val="007977F2"/>
    <w:rsid w:val="00797F77"/>
    <w:rsid w:val="007A7505"/>
    <w:rsid w:val="007D5FD9"/>
    <w:rsid w:val="008B732C"/>
    <w:rsid w:val="008C59D8"/>
    <w:rsid w:val="008D6A11"/>
    <w:rsid w:val="008E4FDC"/>
    <w:rsid w:val="00923846"/>
    <w:rsid w:val="009309FE"/>
    <w:rsid w:val="00935DCB"/>
    <w:rsid w:val="009459EC"/>
    <w:rsid w:val="00980A2F"/>
    <w:rsid w:val="009A1B6B"/>
    <w:rsid w:val="009A6727"/>
    <w:rsid w:val="009B03F0"/>
    <w:rsid w:val="009B5846"/>
    <w:rsid w:val="009C0278"/>
    <w:rsid w:val="009C16FC"/>
    <w:rsid w:val="009D1741"/>
    <w:rsid w:val="009D4D43"/>
    <w:rsid w:val="00A17E19"/>
    <w:rsid w:val="00A373BB"/>
    <w:rsid w:val="00A7278B"/>
    <w:rsid w:val="00A77734"/>
    <w:rsid w:val="00A77A5F"/>
    <w:rsid w:val="00AA1D7C"/>
    <w:rsid w:val="00AC1918"/>
    <w:rsid w:val="00AE1886"/>
    <w:rsid w:val="00AF5C24"/>
    <w:rsid w:val="00AF60B1"/>
    <w:rsid w:val="00B159BC"/>
    <w:rsid w:val="00B256D5"/>
    <w:rsid w:val="00B31FB2"/>
    <w:rsid w:val="00B419FE"/>
    <w:rsid w:val="00B6724B"/>
    <w:rsid w:val="00B74CB4"/>
    <w:rsid w:val="00BA57D2"/>
    <w:rsid w:val="00BD6C10"/>
    <w:rsid w:val="00BE2E11"/>
    <w:rsid w:val="00BF50F1"/>
    <w:rsid w:val="00BF77C5"/>
    <w:rsid w:val="00BF7F3D"/>
    <w:rsid w:val="00C07221"/>
    <w:rsid w:val="00C12778"/>
    <w:rsid w:val="00C224A0"/>
    <w:rsid w:val="00C47C6E"/>
    <w:rsid w:val="00C635A9"/>
    <w:rsid w:val="00C65294"/>
    <w:rsid w:val="00C8531F"/>
    <w:rsid w:val="00C86120"/>
    <w:rsid w:val="00CB6D05"/>
    <w:rsid w:val="00CF48BE"/>
    <w:rsid w:val="00CF597A"/>
    <w:rsid w:val="00D1607C"/>
    <w:rsid w:val="00D16744"/>
    <w:rsid w:val="00D731C5"/>
    <w:rsid w:val="00D82EC7"/>
    <w:rsid w:val="00D84752"/>
    <w:rsid w:val="00DA5230"/>
    <w:rsid w:val="00DA6AAC"/>
    <w:rsid w:val="00DB5A96"/>
    <w:rsid w:val="00DC17E1"/>
    <w:rsid w:val="00DC4659"/>
    <w:rsid w:val="00DC7707"/>
    <w:rsid w:val="00DD304C"/>
    <w:rsid w:val="00DD3436"/>
    <w:rsid w:val="00DD4EE7"/>
    <w:rsid w:val="00DD52A8"/>
    <w:rsid w:val="00DE11B1"/>
    <w:rsid w:val="00DE499F"/>
    <w:rsid w:val="00E22F31"/>
    <w:rsid w:val="00E26CD4"/>
    <w:rsid w:val="00E335DF"/>
    <w:rsid w:val="00E448E7"/>
    <w:rsid w:val="00E53FAF"/>
    <w:rsid w:val="00E57035"/>
    <w:rsid w:val="00E609FF"/>
    <w:rsid w:val="00E62464"/>
    <w:rsid w:val="00E674A4"/>
    <w:rsid w:val="00E71567"/>
    <w:rsid w:val="00E754D6"/>
    <w:rsid w:val="00E85C60"/>
    <w:rsid w:val="00E95A2B"/>
    <w:rsid w:val="00E9624F"/>
    <w:rsid w:val="00EB2D22"/>
    <w:rsid w:val="00EE0076"/>
    <w:rsid w:val="00EE0410"/>
    <w:rsid w:val="00EE22D6"/>
    <w:rsid w:val="00EE4A8C"/>
    <w:rsid w:val="00EF5260"/>
    <w:rsid w:val="00F02CAE"/>
    <w:rsid w:val="00F420A3"/>
    <w:rsid w:val="00FA52FE"/>
    <w:rsid w:val="00FE0362"/>
    <w:rsid w:val="00FF185C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5A4C1B"/>
  <w15:docId w15:val="{CDF90803-67AF-48D6-A1AF-0F2D5C04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36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481346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92278F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481346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hyperlink" Target="mailto:ffbuz-u-obao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7DCA-51F8-4C84-AD13-EBA3AE4E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5</cp:revision>
  <cp:lastPrinted>2024-04-08T08:37:00Z</cp:lastPrinted>
  <dcterms:created xsi:type="dcterms:W3CDTF">2024-11-13T04:10:00Z</dcterms:created>
  <dcterms:modified xsi:type="dcterms:W3CDTF">2024-11-13T05:28:00Z</dcterms:modified>
</cp:coreProperties>
</file>