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EB" w:rsidRDefault="005F6C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6CE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EB" w:rsidRDefault="005F6CEB">
            <w:pPr>
              <w:pStyle w:val="ConsPlusNormal"/>
              <w:jc w:val="center"/>
              <w:outlineLvl w:val="0"/>
            </w:pPr>
            <w:r>
              <w:t>ФЕДЕРАЛЬНОЕ СТАТИСТИЧЕСКОЕ НАБЛЮДЕНИЕ</w:t>
            </w:r>
          </w:p>
        </w:tc>
      </w:tr>
    </w:tbl>
    <w:p w:rsidR="005F6CEB" w:rsidRDefault="005F6C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6CE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EB" w:rsidRDefault="005F6CEB">
            <w:pPr>
              <w:pStyle w:val="ConsPlusNormal"/>
              <w:jc w:val="center"/>
            </w:pPr>
            <w: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5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5F6CEB" w:rsidRDefault="005F6C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F6CE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EB" w:rsidRDefault="005F6CEB">
            <w:pPr>
              <w:pStyle w:val="ConsPlusNormal"/>
              <w:jc w:val="center"/>
            </w:pPr>
            <w:bookmarkStart w:id="0" w:name="P50"/>
            <w:bookmarkEnd w:id="0"/>
            <w:r>
              <w:t>СВЕДЕНИЯ</w:t>
            </w:r>
          </w:p>
          <w:p w:rsidR="005F6CEB" w:rsidRDefault="005F6CEB">
            <w:pPr>
              <w:pStyle w:val="ConsPlusNormal"/>
              <w:jc w:val="center"/>
            </w:pPr>
            <w:r>
              <w:t>О ТРАВМАТИЗМЕ НА ПРОИЗВОДСТВЕ И ПРОФЕССИОНАЛЬНЫХ ЗАБОЛЕВАНИЯХ</w:t>
            </w:r>
          </w:p>
          <w:p w:rsidR="005F6CEB" w:rsidRDefault="005F6CEB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5F6CEB" w:rsidRDefault="005F6C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644"/>
        <w:gridCol w:w="340"/>
        <w:gridCol w:w="2835"/>
      </w:tblGrid>
      <w:tr w:rsidR="005F6CEB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  <w:jc w:val="center"/>
            </w:pPr>
            <w:r>
              <w:t>Форма N 7-травматизм</w:t>
            </w:r>
          </w:p>
        </w:tc>
      </w:tr>
      <w:tr w:rsidR="005F6CEB">
        <w:tblPrEx>
          <w:tblBorders>
            <w:right w:val="none" w:sz="0" w:space="0" w:color="auto"/>
          </w:tblBorders>
        </w:tblPrEx>
        <w:tc>
          <w:tcPr>
            <w:tcW w:w="42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  <w:proofErr w:type="gramStart"/>
            <w:r>
              <w:t xml:space="preserve">юридические лица (кроме </w:t>
            </w:r>
            <w:proofErr w:type="spellStart"/>
            <w:r>
              <w:t>микропредприятий</w:t>
            </w:r>
            <w:proofErr w:type="spellEnd"/>
            <w:r>
      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 (полный перечень категорий респондентов приведен в указаниях</w:t>
            </w:r>
            <w:proofErr w:type="gramEnd"/>
            <w:r>
              <w:t xml:space="preserve"> по заполнению формы федерального статистического наблюдения):</w:t>
            </w:r>
          </w:p>
          <w:p w:rsidR="005F6CEB" w:rsidRDefault="005F6CEB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bottom w:val="nil"/>
            </w:tcBorders>
          </w:tcPr>
          <w:p w:rsidR="005F6CEB" w:rsidRDefault="005F6CEB">
            <w:pPr>
              <w:pStyle w:val="ConsPlusNormal"/>
              <w:jc w:val="center"/>
            </w:pPr>
            <w:r>
              <w:t>с 20-го февраля по 1 марта после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CEB" w:rsidRDefault="005F6CEB">
            <w:pPr>
              <w:pStyle w:val="ConsPlusNormal"/>
              <w:jc w:val="center"/>
            </w:pPr>
            <w:r>
              <w:t>Приказ Росстата:</w:t>
            </w:r>
          </w:p>
          <w:p w:rsidR="005F6CEB" w:rsidRDefault="005F6CEB">
            <w:pPr>
              <w:pStyle w:val="ConsPlusNormal"/>
              <w:jc w:val="center"/>
            </w:pPr>
            <w:r>
              <w:t>Об утверждении формы</w:t>
            </w:r>
          </w:p>
          <w:p w:rsidR="005F6CEB" w:rsidRDefault="005F6CEB">
            <w:pPr>
              <w:pStyle w:val="ConsPlusNormal"/>
              <w:jc w:val="center"/>
            </w:pPr>
            <w:r>
              <w:t>от 31.07.2023 N 361</w:t>
            </w:r>
          </w:p>
          <w:p w:rsidR="005F6CEB" w:rsidRDefault="005F6CEB">
            <w:pPr>
              <w:pStyle w:val="ConsPlusNormal"/>
              <w:jc w:val="center"/>
            </w:pPr>
            <w:r>
              <w:t>О внесении изменений</w:t>
            </w:r>
          </w:p>
          <w:p w:rsidR="005F6CEB" w:rsidRDefault="005F6CEB">
            <w:pPr>
              <w:pStyle w:val="ConsPlusNormal"/>
              <w:jc w:val="center"/>
            </w:pPr>
            <w:r>
              <w:t>(при наличии)</w:t>
            </w:r>
          </w:p>
          <w:p w:rsidR="005F6CEB" w:rsidRDefault="005F6CEB">
            <w:pPr>
              <w:pStyle w:val="ConsPlusNormal"/>
              <w:jc w:val="center"/>
            </w:pPr>
            <w:r>
              <w:t>от _____________ N ___</w:t>
            </w:r>
          </w:p>
          <w:p w:rsidR="005F6CEB" w:rsidRDefault="005F6CEB">
            <w:pPr>
              <w:pStyle w:val="ConsPlusNormal"/>
              <w:jc w:val="center"/>
            </w:pPr>
            <w:r>
              <w:t>от _____________ N ___</w:t>
            </w:r>
          </w:p>
        </w:tc>
      </w:tr>
      <w:tr w:rsidR="005F6CE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</w:tr>
      <w:tr w:rsidR="005F6CE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</w:tr>
      <w:tr w:rsidR="005F6CE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</w:tr>
      <w:tr w:rsidR="005F6CE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</w:tr>
      <w:tr w:rsidR="005F6CE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</w:tr>
      <w:tr w:rsidR="005F6CE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CEB" w:rsidRDefault="005F6CEB">
            <w:pPr>
              <w:pStyle w:val="ConsPlusNormal"/>
            </w:pPr>
          </w:p>
        </w:tc>
      </w:tr>
      <w:tr w:rsidR="005F6CEB">
        <w:tblPrEx>
          <w:tblBorders>
            <w:insideH w:val="none" w:sz="0" w:space="0" w:color="auto"/>
          </w:tblBorders>
        </w:tblPrEx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F6CEB" w:rsidRDefault="005F6CEB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5F6CEB" w:rsidRDefault="005F6C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118"/>
        <w:gridCol w:w="2408"/>
        <w:gridCol w:w="2409"/>
      </w:tblGrid>
      <w:tr w:rsidR="005F6CEB">
        <w:tc>
          <w:tcPr>
            <w:tcW w:w="9069" w:type="dxa"/>
            <w:gridSpan w:val="4"/>
          </w:tcPr>
          <w:p w:rsidR="005F6CEB" w:rsidRDefault="005F6CEB">
            <w:pPr>
              <w:pStyle w:val="ConsPlusNormal"/>
            </w:pPr>
            <w:bookmarkStart w:id="1" w:name="P79"/>
            <w:bookmarkEnd w:id="1"/>
            <w:r>
              <w:t>Наименование отчитывающейся организации _________________________________</w:t>
            </w:r>
          </w:p>
        </w:tc>
      </w:tr>
      <w:tr w:rsidR="005F6CEB">
        <w:tc>
          <w:tcPr>
            <w:tcW w:w="9069" w:type="dxa"/>
            <w:gridSpan w:val="4"/>
          </w:tcPr>
          <w:p w:rsidR="005F6CEB" w:rsidRDefault="005F6CEB">
            <w:pPr>
              <w:pStyle w:val="ConsPlusNormal"/>
            </w:pPr>
            <w:bookmarkStart w:id="2" w:name="P80"/>
            <w:bookmarkEnd w:id="2"/>
            <w:r>
              <w:t>Почтовый адрес ____________________________________________________________</w:t>
            </w:r>
          </w:p>
        </w:tc>
      </w:tr>
      <w:tr w:rsidR="005F6CEB">
        <w:tc>
          <w:tcPr>
            <w:tcW w:w="1134" w:type="dxa"/>
            <w:vMerge w:val="restart"/>
          </w:tcPr>
          <w:p w:rsidR="005F6CEB" w:rsidRDefault="005F6CEB">
            <w:pPr>
              <w:pStyle w:val="ConsPlusNormal"/>
              <w:jc w:val="center"/>
            </w:pPr>
            <w:bookmarkStart w:id="3" w:name="P81"/>
            <w:bookmarkEnd w:id="3"/>
            <w:r>
              <w:t>Код</w:t>
            </w:r>
          </w:p>
          <w:p w:rsidR="005F6CEB" w:rsidRDefault="005F6CEB">
            <w:pPr>
              <w:pStyle w:val="ConsPlusNormal"/>
              <w:jc w:val="center"/>
            </w:pPr>
            <w:r>
              <w:t xml:space="preserve">формы по </w:t>
            </w:r>
            <w:hyperlink r:id="rId6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935" w:type="dxa"/>
            <w:gridSpan w:val="3"/>
          </w:tcPr>
          <w:p w:rsidR="005F6CEB" w:rsidRDefault="005F6CEB">
            <w:pPr>
              <w:pStyle w:val="ConsPlusNormal"/>
              <w:jc w:val="center"/>
            </w:pPr>
            <w:r>
              <w:t>Код</w:t>
            </w:r>
          </w:p>
        </w:tc>
      </w:tr>
      <w:tr w:rsidR="005F6CEB">
        <w:tc>
          <w:tcPr>
            <w:tcW w:w="1134" w:type="dxa"/>
            <w:vMerge/>
          </w:tcPr>
          <w:p w:rsidR="005F6CEB" w:rsidRDefault="005F6CEB">
            <w:pPr>
              <w:pStyle w:val="ConsPlusNormal"/>
            </w:pPr>
          </w:p>
        </w:tc>
        <w:tc>
          <w:tcPr>
            <w:tcW w:w="3118" w:type="dxa"/>
          </w:tcPr>
          <w:p w:rsidR="005F6CEB" w:rsidRDefault="005F6CEB">
            <w:pPr>
              <w:pStyle w:val="ConsPlusNormal"/>
              <w:jc w:val="center"/>
            </w:pPr>
            <w:r>
              <w:t xml:space="preserve">отчитывающейся организации по ОКПО (обособленного подразделения и головного подразделения юридического </w:t>
            </w:r>
            <w:r>
              <w:lastRenderedPageBreak/>
              <w:t>лица - идентификационный номер)</w:t>
            </w:r>
          </w:p>
        </w:tc>
        <w:tc>
          <w:tcPr>
            <w:tcW w:w="2408" w:type="dxa"/>
          </w:tcPr>
          <w:p w:rsidR="005F6CEB" w:rsidRDefault="005F6CEB">
            <w:pPr>
              <w:pStyle w:val="ConsPlusNormal"/>
            </w:pPr>
          </w:p>
        </w:tc>
        <w:tc>
          <w:tcPr>
            <w:tcW w:w="2409" w:type="dxa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1134" w:type="dxa"/>
          </w:tcPr>
          <w:p w:rsidR="005F6CEB" w:rsidRDefault="005F6CE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118" w:type="dxa"/>
          </w:tcPr>
          <w:p w:rsidR="005F6CEB" w:rsidRDefault="005F6CE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8" w:type="dxa"/>
          </w:tcPr>
          <w:p w:rsidR="005F6CEB" w:rsidRDefault="005F6C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5F6CEB" w:rsidRDefault="005F6CEB">
            <w:pPr>
              <w:pStyle w:val="ConsPlusNormal"/>
              <w:jc w:val="center"/>
            </w:pPr>
            <w:r>
              <w:t>4</w:t>
            </w:r>
          </w:p>
        </w:tc>
      </w:tr>
      <w:tr w:rsidR="005F6CEB">
        <w:tc>
          <w:tcPr>
            <w:tcW w:w="1134" w:type="dxa"/>
          </w:tcPr>
          <w:p w:rsidR="005F6CEB" w:rsidRDefault="005F6CEB">
            <w:pPr>
              <w:pStyle w:val="ConsPlusNormal"/>
              <w:jc w:val="center"/>
            </w:pPr>
            <w:r>
              <w:t>0609304</w:t>
            </w:r>
          </w:p>
        </w:tc>
        <w:tc>
          <w:tcPr>
            <w:tcW w:w="3118" w:type="dxa"/>
          </w:tcPr>
          <w:p w:rsidR="005F6CEB" w:rsidRDefault="005F6CEB">
            <w:pPr>
              <w:pStyle w:val="ConsPlusNormal"/>
            </w:pPr>
          </w:p>
        </w:tc>
        <w:tc>
          <w:tcPr>
            <w:tcW w:w="2408" w:type="dxa"/>
          </w:tcPr>
          <w:p w:rsidR="005F6CEB" w:rsidRDefault="005F6CEB">
            <w:pPr>
              <w:pStyle w:val="ConsPlusNormal"/>
            </w:pPr>
          </w:p>
        </w:tc>
        <w:tc>
          <w:tcPr>
            <w:tcW w:w="2409" w:type="dxa"/>
          </w:tcPr>
          <w:p w:rsidR="005F6CEB" w:rsidRDefault="005F6CEB">
            <w:pPr>
              <w:pStyle w:val="ConsPlusNormal"/>
            </w:pPr>
          </w:p>
        </w:tc>
      </w:tr>
    </w:tbl>
    <w:p w:rsidR="005F6CEB" w:rsidRDefault="005F6C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850"/>
        <w:gridCol w:w="1277"/>
        <w:gridCol w:w="1587"/>
      </w:tblGrid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5F6CEB" w:rsidRDefault="005F6CEB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77" w:type="dxa"/>
          </w:tcPr>
          <w:p w:rsidR="005F6CEB" w:rsidRDefault="005F6CE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5F6CEB" w:rsidRDefault="005F6CEB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50" w:type="dxa"/>
          </w:tcPr>
          <w:p w:rsidR="005F6CEB" w:rsidRDefault="005F6CE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77" w:type="dxa"/>
          </w:tcPr>
          <w:p w:rsidR="005F6CEB" w:rsidRDefault="005F6CE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F6CEB" w:rsidRDefault="005F6CEB">
            <w:pPr>
              <w:pStyle w:val="ConsPlusNormal"/>
              <w:jc w:val="center"/>
            </w:pPr>
            <w:r>
              <w:t>4</w:t>
            </w: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4" w:name="P105"/>
            <w:bookmarkEnd w:id="4"/>
            <w:r>
              <w:t>01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566"/>
            </w:pPr>
            <w:r>
              <w:t>из них:</w:t>
            </w:r>
          </w:p>
          <w:p w:rsidR="005F6CEB" w:rsidRDefault="005F6CEB">
            <w:pPr>
              <w:pStyle w:val="ConsPlusNormal"/>
              <w:ind w:left="283"/>
            </w:pPr>
            <w:r>
              <w:t>женщин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5" w:name="P110"/>
            <w:bookmarkEnd w:id="5"/>
            <w:r>
              <w:t>02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лиц до 18 лет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6" w:name="P114"/>
            <w:bookmarkEnd w:id="6"/>
            <w:r>
              <w:t>03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7" w:name="P118"/>
            <w:bookmarkEnd w:id="7"/>
            <w:r>
              <w:t>04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по вине работников и работодателя данной организации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8" w:name="P122"/>
            <w:bookmarkEnd w:id="8"/>
            <w:r>
              <w:t>05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9" w:name="P126"/>
            <w:bookmarkEnd w:id="9"/>
            <w:r>
              <w:t>06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Численность пострадавших при несчастных случаях на производстве со смертельным исходом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0" w:name="P130"/>
            <w:bookmarkEnd w:id="10"/>
            <w:r>
              <w:t>07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566"/>
            </w:pPr>
            <w:r>
              <w:t>из них:</w:t>
            </w:r>
          </w:p>
          <w:p w:rsidR="005F6CEB" w:rsidRDefault="005F6CEB">
            <w:pPr>
              <w:pStyle w:val="ConsPlusNormal"/>
              <w:ind w:left="283"/>
            </w:pPr>
            <w:r>
              <w:t>женщин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1" w:name="P135"/>
            <w:bookmarkEnd w:id="11"/>
            <w:r>
              <w:t>08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лиц до 18 лет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2" w:name="P139"/>
            <w:bookmarkEnd w:id="12"/>
            <w:r>
              <w:t>09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3" w:name="P143"/>
            <w:bookmarkEnd w:id="13"/>
            <w:r>
              <w:t>10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по вине работников и работодателя данной организации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4" w:name="P147"/>
            <w:bookmarkEnd w:id="14"/>
            <w:r>
              <w:t>11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5" w:name="P151"/>
            <w:bookmarkEnd w:id="15"/>
            <w:r>
              <w:t>12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отчетном году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6" w:name="P155"/>
            <w:bookmarkEnd w:id="16"/>
            <w:r>
              <w:t>13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 xml:space="preserve">чел. </w:t>
            </w:r>
            <w:proofErr w:type="spellStart"/>
            <w:r>
              <w:t>дн</w:t>
            </w:r>
            <w:proofErr w:type="spellEnd"/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proofErr w:type="gramStart"/>
            <w:r>
              <w:t>Численность пострадавших, частично утративших трудоспособность и переведенных с основной работы на другую на 1 рабочий день и более в соответствии с медицинским заключением</w:t>
            </w:r>
            <w:proofErr w:type="gramEnd"/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7" w:name="P159"/>
            <w:bookmarkEnd w:id="17"/>
            <w:r>
              <w:t>14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из них женщин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8" w:name="P163"/>
            <w:bookmarkEnd w:id="18"/>
            <w:r>
              <w:t>15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lastRenderedPageBreak/>
              <w:t>Численность лиц с впервые установленным профессиональным заболеванием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19" w:name="P167"/>
            <w:bookmarkEnd w:id="19"/>
            <w:r>
              <w:t>16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Израсходовано на мероприятия по охране труда - всего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0" w:name="P171"/>
            <w:bookmarkEnd w:id="20"/>
            <w:r>
              <w:t>17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 xml:space="preserve">из них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5F6CEB" w:rsidRDefault="005F6CEB">
            <w:pPr>
              <w:pStyle w:val="ConsPlusNormal"/>
            </w:pPr>
            <w:r>
              <w:t xml:space="preserve">приобретение спецодежды, </w:t>
            </w:r>
            <w:proofErr w:type="spellStart"/>
            <w:r>
              <w:t>спецобуви</w:t>
            </w:r>
            <w:proofErr w:type="spellEnd"/>
            <w:r>
              <w:t xml:space="preserve"> и других средств индивидуальной защиты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1" w:name="P176"/>
            <w:bookmarkEnd w:id="21"/>
            <w:r>
              <w:t>18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реализацию организационных мероприятий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2" w:name="P180"/>
            <w:bookmarkEnd w:id="22"/>
            <w:r>
              <w:t>19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реализацию технико-технологических мероприятий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3" w:name="P184"/>
            <w:bookmarkEnd w:id="23"/>
            <w:r>
              <w:t>20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реализацию санитарно-гигиенических мероприятий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4" w:name="P188"/>
            <w:bookmarkEnd w:id="24"/>
            <w:r>
              <w:t>21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подготовку работников по охране труда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5" w:name="P192"/>
            <w:bookmarkEnd w:id="25"/>
            <w:r>
              <w:t>22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руб</w:t>
            </w:r>
            <w:proofErr w:type="spellEnd"/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</w:pPr>
            <w:r>
              <w:t>Средняя численность работников (работники списочного состава и внешние совместители) за отчетный год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6" w:name="P196"/>
            <w:bookmarkEnd w:id="26"/>
            <w:r>
              <w:t>23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  <w:tr w:rsidR="005F6CEB">
        <w:tc>
          <w:tcPr>
            <w:tcW w:w="5329" w:type="dxa"/>
          </w:tcPr>
          <w:p w:rsidR="005F6CEB" w:rsidRDefault="005F6CEB">
            <w:pPr>
              <w:pStyle w:val="ConsPlusNormal"/>
              <w:ind w:left="283"/>
            </w:pPr>
            <w:r>
              <w:t>из них женщин</w:t>
            </w:r>
          </w:p>
        </w:tc>
        <w:tc>
          <w:tcPr>
            <w:tcW w:w="850" w:type="dxa"/>
            <w:vAlign w:val="center"/>
          </w:tcPr>
          <w:p w:rsidR="005F6CEB" w:rsidRDefault="005F6CEB">
            <w:pPr>
              <w:pStyle w:val="ConsPlusNormal"/>
              <w:jc w:val="center"/>
            </w:pPr>
            <w:bookmarkStart w:id="27" w:name="P200"/>
            <w:bookmarkEnd w:id="27"/>
            <w:r>
              <w:t>24</w:t>
            </w:r>
          </w:p>
        </w:tc>
        <w:tc>
          <w:tcPr>
            <w:tcW w:w="1277" w:type="dxa"/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587" w:type="dxa"/>
            <w:vAlign w:val="center"/>
          </w:tcPr>
          <w:p w:rsidR="005F6CEB" w:rsidRDefault="005F6CEB">
            <w:pPr>
              <w:pStyle w:val="ConsPlusNormal"/>
            </w:pPr>
          </w:p>
        </w:tc>
      </w:tr>
    </w:tbl>
    <w:p w:rsidR="005F6CEB" w:rsidRDefault="005F6CEB">
      <w:pPr>
        <w:pStyle w:val="ConsPlusNormal"/>
        <w:jc w:val="both"/>
      </w:pPr>
    </w:p>
    <w:tbl>
      <w:tblPr>
        <w:tblW w:w="1134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  <w:gridCol w:w="567"/>
        <w:gridCol w:w="585"/>
        <w:gridCol w:w="912"/>
      </w:tblGrid>
      <w:tr w:rsidR="005F6CEB" w:rsidTr="005F6CEB"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>
            <w:pPr>
              <w:pStyle w:val="ConsPlusNormal"/>
              <w:jc w:val="both"/>
            </w:pPr>
            <w:bookmarkStart w:id="28" w:name="P204"/>
            <w:bookmarkEnd w:id="28"/>
            <w:proofErr w:type="spellStart"/>
            <w:r>
              <w:t>Справочно</w:t>
            </w:r>
            <w:proofErr w:type="spellEnd"/>
            <w:r>
              <w:t xml:space="preserve"> (заполняется в обязательном порядке):</w:t>
            </w:r>
          </w:p>
        </w:tc>
      </w:tr>
      <w:tr w:rsidR="005F6CEB" w:rsidTr="005F6CEB">
        <w:tblPrEx>
          <w:tblBorders>
            <w:right w:val="single" w:sz="4" w:space="0" w:color="auto"/>
          </w:tblBorders>
        </w:tblPrEx>
        <w:tc>
          <w:tcPr>
            <w:tcW w:w="9276" w:type="dxa"/>
            <w:tcBorders>
              <w:top w:val="nil"/>
              <w:left w:val="nil"/>
              <w:bottom w:val="nil"/>
            </w:tcBorders>
          </w:tcPr>
          <w:p w:rsidR="005F6CEB" w:rsidRDefault="005F6CEB">
            <w:pPr>
              <w:pStyle w:val="ConsPlusNormal"/>
            </w:pPr>
            <w:bookmarkStart w:id="29" w:name="P205"/>
            <w:bookmarkEnd w:id="29"/>
            <w:r>
              <w:t>Наличие на предприятии здравпункта (врачебного кабинета, медико-санитарной части и тому подобное) (25)</w:t>
            </w:r>
          </w:p>
          <w:p w:rsidR="005F6CEB" w:rsidRDefault="005F6CEB">
            <w:pPr>
              <w:pStyle w:val="ConsPlusNormal"/>
            </w:pPr>
          </w:p>
          <w:p w:rsidR="005F6CEB" w:rsidRDefault="005F6CE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85" w:type="dxa"/>
            <w:tcBorders>
              <w:top w:val="nil"/>
              <w:bottom w:val="nil"/>
            </w:tcBorders>
            <w:vAlign w:val="center"/>
          </w:tcPr>
          <w:p w:rsidR="005F6CEB" w:rsidRDefault="005F6CEB">
            <w:pPr>
              <w:pStyle w:val="ConsPlusNormal"/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CEB" w:rsidRDefault="005F6CEB">
            <w:pPr>
              <w:pStyle w:val="ConsPlusNormal"/>
              <w:jc w:val="center"/>
            </w:pPr>
            <w:r>
              <w:t>Нет</w:t>
            </w:r>
          </w:p>
        </w:tc>
      </w:tr>
    </w:tbl>
    <w:tbl>
      <w:tblPr>
        <w:tblpPr w:leftFromText="180" w:rightFromText="180" w:vertAnchor="text" w:horzAnchor="margin" w:tblpXSpec="center" w:tblpY="1"/>
        <w:tblW w:w="9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3118"/>
        <w:gridCol w:w="2348"/>
        <w:gridCol w:w="222"/>
        <w:gridCol w:w="2551"/>
        <w:gridCol w:w="166"/>
        <w:gridCol w:w="1297"/>
      </w:tblGrid>
      <w:tr w:rsidR="005F6CEB" w:rsidTr="005F6CEB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EB" w:rsidRDefault="005F6CEB" w:rsidP="005F6CEB">
            <w:pPr>
              <w:pStyle w:val="ConsPlusNormal"/>
              <w:jc w:val="center"/>
            </w:pPr>
            <w: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</w:tr>
      <w:tr w:rsidR="005F6CEB" w:rsidTr="005F6CEB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5F6CEB" w:rsidTr="005F6CEB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EB" w:rsidRDefault="005F6CEB" w:rsidP="005F6CEB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w:anchor="P241">
              <w:r>
                <w:rPr>
                  <w:color w:val="0000FF"/>
                </w:rPr>
                <w:t>&lt;1&gt;</w:t>
              </w:r>
            </w:hyperlink>
            <w:r>
              <w:t>: ________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EB" w:rsidRDefault="005F6CEB" w:rsidP="005F6CEB">
            <w:pPr>
              <w:pStyle w:val="ConsPlusNormal"/>
              <w:jc w:val="center"/>
            </w:pPr>
            <w:r>
              <w:t>"__" ______ 20__ год</w:t>
            </w:r>
          </w:p>
        </w:tc>
      </w:tr>
      <w:tr w:rsidR="005F6CEB" w:rsidTr="005F6CEB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  <w:jc w:val="center"/>
            </w:pPr>
            <w:r>
              <w:t xml:space="preserve">(номер контактного телефона </w:t>
            </w:r>
            <w:hyperlink w:anchor="P24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5F6CEB" w:rsidRDefault="005F6CEB" w:rsidP="005F6CEB">
            <w:pPr>
              <w:pStyle w:val="ConsPlusNormal"/>
              <w:jc w:val="center"/>
            </w:pPr>
            <w:proofErr w:type="gramStart"/>
            <w:r>
              <w:t>(дата составления</w:t>
            </w:r>
            <w:proofErr w:type="gramEnd"/>
          </w:p>
          <w:p w:rsidR="005F6CEB" w:rsidRDefault="005F6CEB" w:rsidP="005F6CEB">
            <w:pPr>
              <w:pStyle w:val="ConsPlusNormal"/>
              <w:jc w:val="center"/>
            </w:pPr>
            <w:r>
              <w:t>документа)</w:t>
            </w:r>
          </w:p>
        </w:tc>
      </w:tr>
    </w:tbl>
    <w:p w:rsidR="005F6CEB" w:rsidRDefault="005F6CEB">
      <w:pPr>
        <w:pStyle w:val="ConsPlusNormal"/>
        <w:jc w:val="both"/>
      </w:pPr>
    </w:p>
    <w:p w:rsidR="005F6CEB" w:rsidRDefault="005F6CEB">
      <w:pPr>
        <w:pStyle w:val="ConsPlusNormal"/>
        <w:sectPr w:rsidR="005F6CEB" w:rsidSect="00A411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6CEB" w:rsidRDefault="005F6CEB">
      <w:pPr>
        <w:pStyle w:val="ConsPlusNormal"/>
        <w:jc w:val="both"/>
      </w:pPr>
      <w:bookmarkStart w:id="30" w:name="_GoBack"/>
      <w:bookmarkEnd w:id="30"/>
    </w:p>
    <w:p w:rsidR="005F6CEB" w:rsidRDefault="005F6CEB">
      <w:pPr>
        <w:pStyle w:val="ConsPlusNormal"/>
        <w:ind w:firstLine="540"/>
        <w:jc w:val="both"/>
      </w:pPr>
      <w:r>
        <w:t>--------------------------------</w:t>
      </w:r>
    </w:p>
    <w:p w:rsidR="005F6CEB" w:rsidRDefault="005F6CEB">
      <w:pPr>
        <w:pStyle w:val="ConsPlusNormal"/>
        <w:spacing w:before="220"/>
        <w:ind w:firstLine="540"/>
        <w:jc w:val="both"/>
      </w:pPr>
      <w:bookmarkStart w:id="31" w:name="P241"/>
      <w:bookmarkEnd w:id="31"/>
      <w:r>
        <w:t>&lt;1</w:t>
      </w:r>
      <w:proofErr w:type="gramStart"/>
      <w:r>
        <w:t>&gt; И</w:t>
      </w:r>
      <w:proofErr w:type="gramEnd"/>
      <w:r>
        <w:t>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:rsidR="005F6CEB" w:rsidRDefault="005F6CEB">
      <w:pPr>
        <w:pStyle w:val="ConsPlusNormal"/>
        <w:jc w:val="both"/>
      </w:pPr>
    </w:p>
    <w:p w:rsidR="005F6CEB" w:rsidRDefault="005F6CEB">
      <w:pPr>
        <w:pStyle w:val="ConsPlusNormal"/>
        <w:jc w:val="center"/>
        <w:outlineLvl w:val="1"/>
      </w:pPr>
      <w:r>
        <w:t>Указания</w:t>
      </w:r>
    </w:p>
    <w:p w:rsidR="005F6CEB" w:rsidRDefault="005F6CEB">
      <w:pPr>
        <w:pStyle w:val="ConsPlusNormal"/>
        <w:jc w:val="center"/>
      </w:pPr>
      <w:r>
        <w:t>по заполнению формы федерального статистического наблюдения &lt;1&gt;</w:t>
      </w:r>
    </w:p>
    <w:p w:rsidR="005F6CEB" w:rsidRDefault="005F6CEB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Росстата от 11.01.2024 N 3)</w:t>
      </w:r>
    </w:p>
    <w:p w:rsidR="005F6CEB" w:rsidRDefault="005F6CEB">
      <w:pPr>
        <w:pStyle w:val="ConsPlusNormal"/>
        <w:jc w:val="center"/>
      </w:pPr>
    </w:p>
    <w:p w:rsidR="005F6CEB" w:rsidRDefault="005F6CEB">
      <w:pPr>
        <w:pStyle w:val="ConsPlusNormal"/>
        <w:ind w:firstLine="540"/>
        <w:jc w:val="both"/>
      </w:pPr>
      <w:r>
        <w:t>--------------------------------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&lt;1&gt; Юридическими лицами и/или физическими лицами, осуществляющими предпринимательскую деятельность без образования юридического лица (индивидуальные предприниматели), зарегистрированными на территориях Луганской Народной Республики, Донецкой Народной Республики, Запорожской и Херсонской областей, данные по форме предоставляются при наличии наблюдаемого явления. В случае отсутствия наблюдаемого явления предоставление формы, не заполненной значениями показателей ("пустой отчет"), указанными респондентами не требуется.</w:t>
      </w:r>
    </w:p>
    <w:p w:rsidR="005F6CEB" w:rsidRDefault="005F6CEB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носка введена </w:t>
      </w:r>
      <w:hyperlink r:id="rId8">
        <w:r>
          <w:rPr>
            <w:color w:val="0000FF"/>
          </w:rPr>
          <w:t>Приказом</w:t>
        </w:r>
      </w:hyperlink>
      <w:r>
        <w:t xml:space="preserve"> Росстата от 11.01.2024 N 3)</w:t>
      </w:r>
    </w:p>
    <w:p w:rsidR="005F6CEB" w:rsidRDefault="005F6CEB">
      <w:pPr>
        <w:pStyle w:val="ConsPlusNormal"/>
        <w:jc w:val="center"/>
      </w:pPr>
    </w:p>
    <w:p w:rsidR="005F6CEB" w:rsidRDefault="005F6CE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Первичные статистические данные (далее - данные) по </w:t>
      </w:r>
      <w:hyperlink w:anchor="P50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7-травматизм "Сведения о травматизме на производстве и профессиональных заболеваниях" (далее - форма) предоставляют юридические лица (кроме </w:t>
      </w:r>
      <w:proofErr w:type="spellStart"/>
      <w:r>
        <w:t>микропредприятий</w:t>
      </w:r>
      <w:proofErr w:type="spellEnd"/>
      <w:r>
        <w:t>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</w:t>
      </w:r>
      <w:proofErr w:type="gramEnd"/>
      <w:r>
        <w:t xml:space="preserve"> домашних хозяйств по производству товаров и оказанию услуг для собственного потребления, деятельности экстерриториальных организаций и органов. </w:t>
      </w:r>
      <w:proofErr w:type="gramStart"/>
      <w:r>
        <w:t xml:space="preserve">Данные по </w:t>
      </w:r>
      <w:hyperlink w:anchor="P50">
        <w:r>
          <w:rPr>
            <w:color w:val="0000FF"/>
          </w:rPr>
          <w:t>форме</w:t>
        </w:r>
      </w:hyperlink>
      <w:r>
        <w:t xml:space="preserve"> предоставляют юридические лица, кроме </w:t>
      </w:r>
      <w:proofErr w:type="spellStart"/>
      <w:r>
        <w:t>микропредприятий</w:t>
      </w:r>
      <w:proofErr w:type="spellEnd"/>
      <w:r>
        <w:t xml:space="preserve">, состоящих в едином реестре субъектов малого и среднего предпринимательства по состоянию на 31 декабря 2024 года,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использования сведений, внесенных в единый реестр субъектов малого и среднего предпринимательства, для проведения федеральных статистических наблюдений, утвержденными постановлением Правительства Российской Федерации от 5 декабря 2024 г. N 1721.</w:t>
      </w:r>
      <w:proofErr w:type="gramEnd"/>
    </w:p>
    <w:p w:rsidR="005F6CEB" w:rsidRDefault="005F6CE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Росстата от 30.01.2025 N 34)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Данные по </w:t>
      </w:r>
      <w:hyperlink w:anchor="P50">
        <w:r>
          <w:rPr>
            <w:color w:val="0000FF"/>
          </w:rPr>
          <w:t>форме</w:t>
        </w:r>
      </w:hyperlink>
      <w:r>
        <w:t xml:space="preserve"> предоставляют юридические лица, средняя численность работников которых равна или больше 1 человека.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При заполнении </w:t>
      </w:r>
      <w:hyperlink w:anchor="P50">
        <w:r>
          <w:rPr>
            <w:color w:val="0000FF"/>
          </w:rPr>
          <w:t>формы</w:t>
        </w:r>
      </w:hyperlink>
      <w:r>
        <w:t xml:space="preserve"> должна быть обеспечена полнота заполнения и достоверность содержащихся в ней данных.</w:t>
      </w:r>
    </w:p>
    <w:p w:rsidR="005F6CEB" w:rsidRDefault="005F6CEB">
      <w:pPr>
        <w:pStyle w:val="ConsPlusNormal"/>
        <w:spacing w:before="220"/>
        <w:ind w:firstLine="540"/>
        <w:jc w:val="both"/>
      </w:pPr>
      <w:hyperlink w:anchor="P204">
        <w:r>
          <w:rPr>
            <w:color w:val="0000FF"/>
          </w:rPr>
          <w:t>Раздел</w:t>
        </w:r>
      </w:hyperlink>
      <w:r>
        <w:t xml:space="preserve"> "</w:t>
      </w:r>
      <w:proofErr w:type="spellStart"/>
      <w:r>
        <w:t>Справочно</w:t>
      </w:r>
      <w:proofErr w:type="spellEnd"/>
      <w:r>
        <w:t>" должен быть заполнен в обязательном порядке.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2. 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 &lt;1&gt; данные по </w:t>
      </w:r>
      <w:hyperlink w:anchor="P50">
        <w:r>
          <w:rPr>
            <w:color w:val="0000FF"/>
          </w:rPr>
          <w:t>форме</w:t>
        </w:r>
      </w:hyperlink>
      <w:r>
        <w:t xml:space="preserve"> предоставляются как по каждому обособленному подразделению, так и по юридическому лицу </w:t>
      </w:r>
      <w:r>
        <w:lastRenderedPageBreak/>
        <w:t>без этих обособленных подразделений.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11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5F6CEB" w:rsidRDefault="005F6CEB">
      <w:pPr>
        <w:pStyle w:val="ConsPlusNormal"/>
        <w:ind w:firstLine="540"/>
        <w:jc w:val="both"/>
      </w:pPr>
    </w:p>
    <w:p w:rsidR="005F6CEB" w:rsidRDefault="005F6CEB">
      <w:pPr>
        <w:pStyle w:val="ConsPlusNormal"/>
        <w:ind w:firstLine="540"/>
        <w:jc w:val="both"/>
      </w:pPr>
      <w:r>
        <w:t xml:space="preserve">Данные по </w:t>
      </w:r>
      <w:hyperlink w:anchor="P50">
        <w:r>
          <w:rPr>
            <w:color w:val="0000FF"/>
          </w:rPr>
          <w:t>форме</w:t>
        </w:r>
      </w:hyperlink>
      <w:r>
        <w:t xml:space="preserve"> предоставляется в территориальные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При налич</w:t>
      </w:r>
      <w:proofErr w:type="gramStart"/>
      <w:r>
        <w:t>ии у ю</w:t>
      </w:r>
      <w:proofErr w:type="gramEnd"/>
      <w:r>
        <w:t xml:space="preserve">ридического лица обособленных подразделений, осуществляющих деятельность за пределами Российской Федерации, данные по ним в настоящую </w:t>
      </w:r>
      <w:hyperlink w:anchor="P50">
        <w:r>
          <w:rPr>
            <w:color w:val="0000FF"/>
          </w:rPr>
          <w:t>форму</w:t>
        </w:r>
      </w:hyperlink>
      <w:r>
        <w:t xml:space="preserve"> не включаются.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Данные по </w:t>
      </w:r>
      <w:hyperlink w:anchor="P50">
        <w:r>
          <w:rPr>
            <w:color w:val="0000FF"/>
          </w:rPr>
          <w:t>форме</w:t>
        </w:r>
      </w:hyperlink>
      <w:r>
        <w:t xml:space="preserve"> предоставляют также филиалы, представительства и </w:t>
      </w:r>
      <w:proofErr w:type="gramStart"/>
      <w:r>
        <w:t>подразделения</w:t>
      </w:r>
      <w:proofErr w:type="gramEnd"/>
      <w:r>
        <w:t xml:space="preserve"> действующих на территории Российской Федерации иностранных организаций в порядке, установленном для юридических лиц.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адресной части</w:t>
        </w:r>
      </w:hyperlink>
      <w:r>
        <w:t xml:space="preserve">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</w:t>
      </w:r>
      <w:proofErr w:type="gramStart"/>
      <w:r>
        <w:t xml:space="preserve">На бланке </w:t>
      </w:r>
      <w:hyperlink w:anchor="P50">
        <w:r>
          <w:rPr>
            <w:color w:val="0000FF"/>
          </w:rPr>
          <w:t>формы</w:t>
        </w:r>
      </w:hyperlink>
      <w:r>
        <w:t>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 (например:</w:t>
      </w:r>
      <w:proofErr w:type="gramEnd"/>
      <w:r>
        <w:t xml:space="preserve"> </w:t>
      </w:r>
      <w:proofErr w:type="gramStart"/>
      <w:r>
        <w:t>Филиал N 19 АО "Красный текстильщик").</w:t>
      </w:r>
      <w:proofErr w:type="gramEnd"/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По </w:t>
      </w:r>
      <w:hyperlink w:anchor="P80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В </w:t>
      </w:r>
      <w:hyperlink w:anchor="P81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</w:t>
      </w:r>
      <w:hyperlink r:id="rId12">
        <w:r>
          <w:rPr>
            <w:color w:val="0000FF"/>
          </w:rPr>
          <w:t>https://websbor.gks.ru/online/info</w:t>
        </w:r>
      </w:hyperlink>
      <w:r>
        <w:t>, отчитывающаяся организация проставляет: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5F6CEB" w:rsidRDefault="005F6CEB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Организации, в отношении которых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26 октября 2002 г. N 127-ФЗ "О несостоятельности (банкротстве)" (далее - Закон о банкротстве) введены </w:t>
      </w:r>
      <w:r>
        <w:lastRenderedPageBreak/>
        <w:t xml:space="preserve">процедуры, применяемые в деле о банкротстве, предоставляют данные по указанной </w:t>
      </w:r>
      <w:hyperlink w:anchor="P50">
        <w:r>
          <w:rPr>
            <w:color w:val="0000FF"/>
          </w:rPr>
          <w:t>форме</w:t>
        </w:r>
      </w:hyperlink>
      <w:r>
        <w:t xml:space="preserve"> до завершения в соответствии со </w:t>
      </w:r>
      <w:hyperlink r:id="rId14">
        <w:r>
          <w:rPr>
            <w:color w:val="0000FF"/>
          </w:rPr>
          <w:t>статьей 149</w:t>
        </w:r>
      </w:hyperlink>
      <w:r>
        <w:t xml:space="preserve"> Закона о банкротстве конкурсного производства и внесения в единый государственный реестр юридических лиц записи о ликвидации должника.</w:t>
      </w:r>
      <w:proofErr w:type="gramEnd"/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данные по </w:t>
      </w:r>
      <w:hyperlink w:anchor="P50">
        <w:r>
          <w:rPr>
            <w:color w:val="0000FF"/>
          </w:rPr>
          <w:t>форме</w:t>
        </w:r>
      </w:hyperlink>
      <w:r>
        <w:t xml:space="preserve"> (включая данные реорганизованного юридического лица) в срок, указанный на бланке </w:t>
      </w:r>
      <w:hyperlink w:anchor="P50">
        <w:r>
          <w:rPr>
            <w:color w:val="0000FF"/>
          </w:rPr>
          <w:t>формы</w:t>
        </w:r>
      </w:hyperlink>
      <w:r>
        <w:t xml:space="preserve"> за период с начала отчетного года, в котором произошла реорганизация.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w:anchor="P50">
        <w:r>
          <w:rPr>
            <w:color w:val="0000FF"/>
          </w:rPr>
          <w:t>форме</w:t>
        </w:r>
      </w:hyperlink>
      <w:r>
        <w:t xml:space="preserve"> отражаются данные о пострадавших при несчастных случаях на производстве, расследованных в соответствии со </w:t>
      </w:r>
      <w:hyperlink r:id="rId15">
        <w:r>
          <w:rPr>
            <w:color w:val="0000FF"/>
          </w:rPr>
          <w:t>статьями 227</w:t>
        </w:r>
      </w:hyperlink>
      <w:r>
        <w:t xml:space="preserve"> - </w:t>
      </w:r>
      <w:hyperlink r:id="rId16">
        <w:r>
          <w:rPr>
            <w:color w:val="0000FF"/>
          </w:rPr>
          <w:t>231</w:t>
        </w:r>
      </w:hyperlink>
      <w:r>
        <w:t xml:space="preserve"> Трудового кодекса Российской Федерации и оформленных Актом о несчастном случае на производстве по </w:t>
      </w:r>
      <w:hyperlink r:id="rId17">
        <w:r>
          <w:rPr>
            <w:color w:val="0000FF"/>
          </w:rPr>
          <w:t>форме Н-1</w:t>
        </w:r>
      </w:hyperlink>
      <w:r>
        <w:t xml:space="preserve"> или Актом о несчастном случае на производстве по </w:t>
      </w:r>
      <w:hyperlink r:id="rId18">
        <w:r>
          <w:rPr>
            <w:color w:val="0000FF"/>
          </w:rPr>
          <w:t>форме Н-1ПС</w:t>
        </w:r>
      </w:hyperlink>
      <w:r>
        <w:t xml:space="preserve"> (далее - акт формы Н-1 и акт формы Н-1ПС соответственно), утвержденными приказом Минтруда России от 20 апреля 2022</w:t>
      </w:r>
      <w:proofErr w:type="gramEnd"/>
      <w:r>
        <w:t xml:space="preserve"> г. N 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 (</w:t>
      </w:r>
      <w:proofErr w:type="gramStart"/>
      <w:r>
        <w:t>зарегистрирован</w:t>
      </w:r>
      <w:proofErr w:type="gramEnd"/>
      <w:r>
        <w:t xml:space="preserve"> Минюстом России 1 июня 2022 г., регистрационный N 68673).</w:t>
      </w:r>
    </w:p>
    <w:p w:rsidR="005F6CEB" w:rsidRDefault="005F6CEB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50">
        <w:r>
          <w:rPr>
            <w:color w:val="0000FF"/>
          </w:rPr>
          <w:t>форме</w:t>
        </w:r>
      </w:hyperlink>
      <w:r>
        <w:t xml:space="preserve"> отражаются данные о пострадавших при несчастных случаях на производстве, расследованных в соответствии с </w:t>
      </w:r>
      <w:hyperlink r:id="rId19">
        <w:r>
          <w:rPr>
            <w:color w:val="0000FF"/>
          </w:rPr>
          <w:t>Соглашением</w:t>
        </w:r>
      </w:hyperlink>
      <w:r>
        <w:t xml:space="preserve">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правительств Содружества Независимых Государств в Москве 9 декабря 1994 г. и утвержденным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июня 1995 г. N 616 "Об утверждении</w:t>
      </w:r>
      <w:proofErr w:type="gramEnd"/>
      <w:r>
        <w:t xml:space="preserve"> </w:t>
      </w:r>
      <w:proofErr w:type="gramStart"/>
      <w:r>
        <w:t xml:space="preserve">соглашений о сотрудничестве, подписанных правительствами государств - участников Содружества Независимых Государств 9 сентября и 9 декабря 1994 г. в г. Москве", и оформленных Актом о несчастном случае на производстве по </w:t>
      </w:r>
      <w:hyperlink r:id="rId21">
        <w:r>
          <w:rPr>
            <w:color w:val="0000FF"/>
          </w:rPr>
          <w:t>форме Н-1М</w:t>
        </w:r>
      </w:hyperlink>
      <w:r>
        <w:t xml:space="preserve"> (далее - акт формы Н-1М), а также в соответствии с </w:t>
      </w:r>
      <w:hyperlink r:id="rId22">
        <w:r>
          <w:rPr>
            <w:color w:val="0000FF"/>
          </w:rPr>
          <w:t>Соглашением</w:t>
        </w:r>
      </w:hyperlink>
      <w:r>
        <w:t xml:space="preserve">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</w:t>
      </w:r>
      <w:proofErr w:type="gramEnd"/>
      <w:r>
        <w:t xml:space="preserve"> </w:t>
      </w:r>
      <w:proofErr w:type="gramStart"/>
      <w:r>
        <w:t xml:space="preserve">деятельности на территории другого государства - члена Евразийского экономического сообщества, заключенным в г. Минске 31 мая 2013 г. и ратифицированным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4 ноября 2014 г. N 321-ФЗ "О ратификации Соглашения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сообщества", и</w:t>
      </w:r>
      <w:proofErr w:type="gramEnd"/>
      <w:r>
        <w:t xml:space="preserve"> оформленным Актом о несчастном случае на производстве по </w:t>
      </w:r>
      <w:hyperlink r:id="rId24">
        <w:r>
          <w:rPr>
            <w:color w:val="0000FF"/>
          </w:rPr>
          <w:t>форме Н-1Е</w:t>
        </w:r>
      </w:hyperlink>
      <w:r>
        <w:t xml:space="preserve"> (далее - акт формы Н-1Е), формы которых утверждены данными соглашениями".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4. По </w:t>
      </w:r>
      <w:hyperlink w:anchor="P105">
        <w:r>
          <w:rPr>
            <w:color w:val="0000FF"/>
          </w:rPr>
          <w:t>строке 01</w:t>
        </w:r>
      </w:hyperlink>
      <w:r>
        <w:t xml:space="preserve"> показывают численность пострадавших с утратой трудоспособности на 1 рабочий день и более, включая пострадавших со смертельным исходом. По </w:t>
      </w:r>
      <w:hyperlink w:anchor="P110">
        <w:r>
          <w:rPr>
            <w:color w:val="0000FF"/>
          </w:rPr>
          <w:t>строкам 02</w:t>
        </w:r>
      </w:hyperlink>
      <w:r>
        <w:t xml:space="preserve"> - </w:t>
      </w:r>
      <w:hyperlink w:anchor="P118">
        <w:r>
          <w:rPr>
            <w:color w:val="0000FF"/>
          </w:rPr>
          <w:t>04</w:t>
        </w:r>
      </w:hyperlink>
      <w:r>
        <w:t xml:space="preserve"> - соответственно численность пострадавших женщин, лиц в возрасте до 18 лет, иностранных граждан. По </w:t>
      </w:r>
      <w:hyperlink w:anchor="P122">
        <w:r>
          <w:rPr>
            <w:color w:val="0000FF"/>
          </w:rPr>
          <w:t>строке 05</w:t>
        </w:r>
      </w:hyperlink>
      <w:r>
        <w:t xml:space="preserve"> - численность пострадавших, у которых в </w:t>
      </w:r>
      <w:hyperlink r:id="rId25">
        <w:r>
          <w:rPr>
            <w:color w:val="0000FF"/>
          </w:rPr>
          <w:t>пункте 10</w:t>
        </w:r>
      </w:hyperlink>
      <w:r>
        <w:t xml:space="preserve"> акта формы Н-1, в </w:t>
      </w:r>
      <w:hyperlink r:id="rId26">
        <w:r>
          <w:rPr>
            <w:color w:val="0000FF"/>
          </w:rPr>
          <w:t>пункте 9</w:t>
        </w:r>
      </w:hyperlink>
      <w:r>
        <w:t xml:space="preserve"> акта формы Н-1ПС, в </w:t>
      </w:r>
      <w:hyperlink r:id="rId27">
        <w:r>
          <w:rPr>
            <w:color w:val="0000FF"/>
          </w:rPr>
          <w:t>пункте 13</w:t>
        </w:r>
      </w:hyperlink>
      <w:r>
        <w:t xml:space="preserve"> акта формы Н-1М или в </w:t>
      </w:r>
      <w:hyperlink r:id="rId28">
        <w:r>
          <w:rPr>
            <w:color w:val="0000FF"/>
          </w:rPr>
          <w:t>пункте 9</w:t>
        </w:r>
      </w:hyperlink>
      <w:r>
        <w:t xml:space="preserve"> акта формы Н-1Е в качестве виновных лиц указаны работники отчитывающейся организации. По </w:t>
      </w:r>
      <w:hyperlink w:anchor="P126">
        <w:r>
          <w:rPr>
            <w:color w:val="0000FF"/>
          </w:rPr>
          <w:t>строке 06</w:t>
        </w:r>
      </w:hyperlink>
      <w:r>
        <w:t xml:space="preserve"> - численность пострадавших, у которых в </w:t>
      </w:r>
      <w:hyperlink r:id="rId29">
        <w:r>
          <w:rPr>
            <w:color w:val="0000FF"/>
          </w:rPr>
          <w:t>пункте 9.3</w:t>
        </w:r>
      </w:hyperlink>
      <w:r>
        <w:t xml:space="preserve"> акта формы Н-1, в </w:t>
      </w:r>
      <w:hyperlink r:id="rId30">
        <w:r>
          <w:rPr>
            <w:color w:val="0000FF"/>
          </w:rPr>
          <w:t>пункте 7.3</w:t>
        </w:r>
      </w:hyperlink>
      <w:r>
        <w:t xml:space="preserve"> акта формы Н-1ПС, в </w:t>
      </w:r>
      <w:hyperlink r:id="rId31">
        <w:r>
          <w:rPr>
            <w:color w:val="0000FF"/>
          </w:rPr>
          <w:t>пункте 11.3</w:t>
        </w:r>
      </w:hyperlink>
      <w:r>
        <w:t xml:space="preserve"> акта формы Н-1М или в </w:t>
      </w:r>
      <w:hyperlink r:id="rId32">
        <w:r>
          <w:rPr>
            <w:color w:val="0000FF"/>
          </w:rPr>
          <w:t>пункте 7.2</w:t>
        </w:r>
      </w:hyperlink>
      <w:r>
        <w:t xml:space="preserve"> акта формы Н-1Е указаны данные о нахождении пострадавшего в состоянии алкогольного или наркотического опьянения.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5. По </w:t>
      </w:r>
      <w:hyperlink w:anchor="P130">
        <w:r>
          <w:rPr>
            <w:color w:val="0000FF"/>
          </w:rPr>
          <w:t>строке 07</w:t>
        </w:r>
      </w:hyperlink>
      <w:r>
        <w:t xml:space="preserve"> отражается численность пострадавших, смерть которых наступила в отчетном году, независимо от времени происшествия несчастного случая. По </w:t>
      </w:r>
      <w:hyperlink w:anchor="P135">
        <w:r>
          <w:rPr>
            <w:color w:val="0000FF"/>
          </w:rPr>
          <w:t>строкам 08</w:t>
        </w:r>
      </w:hyperlink>
      <w:r>
        <w:t xml:space="preserve"> - </w:t>
      </w:r>
      <w:hyperlink w:anchor="P143">
        <w:r>
          <w:rPr>
            <w:color w:val="0000FF"/>
          </w:rPr>
          <w:t>10</w:t>
        </w:r>
      </w:hyperlink>
      <w:r>
        <w:t xml:space="preserve"> - соответственно численность пострадавших женщин, лиц в возрасте до 18 лет, иностранных граждан. По </w:t>
      </w:r>
      <w:hyperlink w:anchor="P147">
        <w:r>
          <w:rPr>
            <w:color w:val="0000FF"/>
          </w:rPr>
          <w:t>строке 11</w:t>
        </w:r>
      </w:hyperlink>
      <w:r>
        <w:t xml:space="preserve"> - численность пострадавших, у которых в </w:t>
      </w:r>
      <w:hyperlink r:id="rId33">
        <w:r>
          <w:rPr>
            <w:color w:val="0000FF"/>
          </w:rPr>
          <w:t>пункте 10</w:t>
        </w:r>
      </w:hyperlink>
      <w:r>
        <w:t xml:space="preserve"> акта формы Н-1, в </w:t>
      </w:r>
      <w:hyperlink r:id="rId34">
        <w:r>
          <w:rPr>
            <w:color w:val="0000FF"/>
          </w:rPr>
          <w:t>пункте 9</w:t>
        </w:r>
      </w:hyperlink>
      <w:r>
        <w:t xml:space="preserve"> акта формы Н-1ПС, в </w:t>
      </w:r>
      <w:hyperlink r:id="rId35">
        <w:r>
          <w:rPr>
            <w:color w:val="0000FF"/>
          </w:rPr>
          <w:t>пункте 13</w:t>
        </w:r>
      </w:hyperlink>
      <w:r>
        <w:t xml:space="preserve"> акта формы Н-1М или в </w:t>
      </w:r>
      <w:hyperlink r:id="rId36">
        <w:r>
          <w:rPr>
            <w:color w:val="0000FF"/>
          </w:rPr>
          <w:t>пункте 9</w:t>
        </w:r>
      </w:hyperlink>
      <w:r>
        <w:t xml:space="preserve"> акта формы Н-1Е в качестве виновных лиц указаны работники отчитывающейся организации. По </w:t>
      </w:r>
      <w:hyperlink w:anchor="P151">
        <w:r>
          <w:rPr>
            <w:color w:val="0000FF"/>
          </w:rPr>
          <w:t>строке 12</w:t>
        </w:r>
      </w:hyperlink>
      <w:r>
        <w:t xml:space="preserve"> - численность пострадавших, у которых в </w:t>
      </w:r>
      <w:hyperlink r:id="rId37">
        <w:r>
          <w:rPr>
            <w:color w:val="0000FF"/>
          </w:rPr>
          <w:t>пункте 9.3</w:t>
        </w:r>
      </w:hyperlink>
      <w:r>
        <w:t xml:space="preserve"> акта формы Н-1, в </w:t>
      </w:r>
      <w:hyperlink r:id="rId38">
        <w:r>
          <w:rPr>
            <w:color w:val="0000FF"/>
          </w:rPr>
          <w:t>пункте 7.3</w:t>
        </w:r>
      </w:hyperlink>
      <w:r>
        <w:t xml:space="preserve"> акта формы Н-1ПС, </w:t>
      </w:r>
      <w:r>
        <w:lastRenderedPageBreak/>
        <w:t xml:space="preserve">в </w:t>
      </w:r>
      <w:hyperlink r:id="rId39">
        <w:r>
          <w:rPr>
            <w:color w:val="0000FF"/>
          </w:rPr>
          <w:t>пункте 11.3</w:t>
        </w:r>
      </w:hyperlink>
      <w:r>
        <w:t xml:space="preserve"> акта формы Н-1М или в </w:t>
      </w:r>
      <w:hyperlink r:id="rId40">
        <w:r>
          <w:rPr>
            <w:color w:val="0000FF"/>
          </w:rPr>
          <w:t>пункте 7.2</w:t>
        </w:r>
      </w:hyperlink>
      <w:r>
        <w:t xml:space="preserve"> акта формы Н-1Е указаны данные о нахождении пострадавшего в состоянии алкогольного или наркотического опьянения.</w:t>
      </w:r>
    </w:p>
    <w:p w:rsidR="005F6CEB" w:rsidRDefault="005F6CEB">
      <w:pPr>
        <w:pStyle w:val="ConsPlusNormal"/>
        <w:spacing w:before="220"/>
        <w:ind w:firstLine="540"/>
        <w:jc w:val="both"/>
      </w:pPr>
      <w:proofErr w:type="gramStart"/>
      <w:r>
        <w:t xml:space="preserve">При наступлении смерти в отчетном году после несчастного случая, который произошел в году, предшествующем отчетному, по </w:t>
      </w:r>
      <w:hyperlink w:anchor="P105">
        <w:r>
          <w:rPr>
            <w:color w:val="0000FF"/>
          </w:rPr>
          <w:t>строке 01</w:t>
        </w:r>
      </w:hyperlink>
      <w:r>
        <w:t xml:space="preserve"> данного отчета этот случай не отражается, поскольку он должен быть уже учтен по этой </w:t>
      </w:r>
      <w:hyperlink w:anchor="P105">
        <w:r>
          <w:rPr>
            <w:color w:val="0000FF"/>
          </w:rPr>
          <w:t>строке</w:t>
        </w:r>
      </w:hyperlink>
      <w:r>
        <w:t xml:space="preserve"> в отчете за предыдущий год.</w:t>
      </w:r>
      <w:proofErr w:type="gramEnd"/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6. По </w:t>
      </w:r>
      <w:hyperlink w:anchor="P155">
        <w:r>
          <w:rPr>
            <w:color w:val="0000FF"/>
          </w:rPr>
          <w:t>строке 13</w:t>
        </w:r>
      </w:hyperlink>
      <w:r>
        <w:t xml:space="preserve"> отражается 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отчетном году. Число рабочих человеко-дней нетрудоспособности отражается суммарно по всем листкам нетрудоспособности, выданным медицинскими организациями. </w:t>
      </w:r>
      <w:proofErr w:type="gramStart"/>
      <w:r>
        <w:t xml:space="preserve">В случае, когда пострадавший получил травму в году, предшествующем отчетному, а временная нетрудоспособность его закончилась в отчетном году, общее число человеко-дней нетрудоспособности показывается по </w:t>
      </w:r>
      <w:hyperlink w:anchor="P155">
        <w:r>
          <w:rPr>
            <w:color w:val="0000FF"/>
          </w:rPr>
          <w:t>строке 13</w:t>
        </w:r>
      </w:hyperlink>
      <w:r>
        <w:t xml:space="preserve"> в отчете за отчетный год.</w:t>
      </w:r>
      <w:proofErr w:type="gramEnd"/>
      <w:r>
        <w:t xml:space="preserve"> В </w:t>
      </w:r>
      <w:hyperlink w:anchor="P105">
        <w:r>
          <w:rPr>
            <w:color w:val="0000FF"/>
          </w:rPr>
          <w:t>строке 01</w:t>
        </w:r>
      </w:hyperlink>
      <w:r>
        <w:t xml:space="preserve"> этот случай не отражается, как уже учтенный в отчете за предыдущий год.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По </w:t>
      </w:r>
      <w:hyperlink w:anchor="P159">
        <w:r>
          <w:rPr>
            <w:color w:val="0000FF"/>
          </w:rPr>
          <w:t>строке 14</w:t>
        </w:r>
      </w:hyperlink>
      <w:r>
        <w:t xml:space="preserve"> показывается численность пострадавших, частично утративших трудоспособность и переведенных с основной работы на другую на 1 рабочий день и более в соответствии с медицинским заключением, но без выдачи листка нетрудоспособности.</w:t>
      </w:r>
      <w:proofErr w:type="gramEnd"/>
      <w:r>
        <w:t xml:space="preserve"> Если листок нетрудоспособности был выдан пострадавшему, то эта </w:t>
      </w:r>
      <w:hyperlink w:anchor="P159">
        <w:r>
          <w:rPr>
            <w:color w:val="0000FF"/>
          </w:rPr>
          <w:t>строка</w:t>
        </w:r>
      </w:hyperlink>
      <w:r>
        <w:t xml:space="preserve"> не заполняется. По </w:t>
      </w:r>
      <w:hyperlink w:anchor="P163">
        <w:r>
          <w:rPr>
            <w:color w:val="0000FF"/>
          </w:rPr>
          <w:t>строке 15</w:t>
        </w:r>
      </w:hyperlink>
      <w:r>
        <w:t xml:space="preserve"> отражается соответственно численность женщин, частично утративших трудоспособность.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8. По </w:t>
      </w:r>
      <w:hyperlink w:anchor="P167">
        <w:r>
          <w:rPr>
            <w:color w:val="0000FF"/>
          </w:rPr>
          <w:t>строке 16</w:t>
        </w:r>
      </w:hyperlink>
      <w:r>
        <w:t xml:space="preserve"> показывают численность лиц с впервые установленным профессиональным заболеванием в отчетном году, по которым составлены акты о случае профессионального заболевания в соответствии с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2022 г. N 1206 "О порядке расследования и учета случаев профессиональных заболеваний работников".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При отсутствии случаев производственного травматизма и профессиональных заболеваний в отчетном году заполняются </w:t>
      </w:r>
      <w:hyperlink w:anchor="P171">
        <w:r>
          <w:rPr>
            <w:color w:val="0000FF"/>
          </w:rPr>
          <w:t>строки 17</w:t>
        </w:r>
      </w:hyperlink>
      <w:r>
        <w:t xml:space="preserve"> - </w:t>
      </w:r>
      <w:hyperlink w:anchor="P205">
        <w:r>
          <w:rPr>
            <w:color w:val="0000FF"/>
          </w:rPr>
          <w:t>25</w:t>
        </w:r>
      </w:hyperlink>
      <w:r>
        <w:t>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По </w:t>
      </w:r>
      <w:hyperlink w:anchor="P171">
        <w:r>
          <w:rPr>
            <w:color w:val="0000FF"/>
          </w:rPr>
          <w:t>строке 17</w:t>
        </w:r>
      </w:hyperlink>
      <w:r>
        <w:t xml:space="preserve"> отражаются затраты на мероприятия по охране труда, в том числе затраты на улучшение условий и охраны труда на производстве, в соответствии с годовым планом мероприятий по улучшению условий и охраны труда, который сформирован с учетом Примерного </w:t>
      </w:r>
      <w:hyperlink r:id="rId42">
        <w:r>
          <w:rPr>
            <w:color w:val="0000FF"/>
          </w:rPr>
          <w:t>перечня</w:t>
        </w:r>
      </w:hyperlink>
      <w:r>
        <w:t xml:space="preserve">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</w:t>
      </w:r>
      <w:proofErr w:type="gramEnd"/>
      <w:r>
        <w:t xml:space="preserve"> </w:t>
      </w:r>
      <w:proofErr w:type="gramStart"/>
      <w:r>
        <w:t>уровней (приказ Министерства труда и социальной защиты Российской Федерации от 29 октября 2021 г.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 Минюстом России 3 декабря 2021 г., регистрационный N 66196) (далее - Примерный перечень).</w:t>
      </w:r>
      <w:proofErr w:type="gramEnd"/>
      <w:r>
        <w:t xml:space="preserve"> По </w:t>
      </w:r>
      <w:hyperlink w:anchor="P176">
        <w:r>
          <w:rPr>
            <w:color w:val="0000FF"/>
          </w:rPr>
          <w:t>строке 18</w:t>
        </w:r>
      </w:hyperlink>
      <w:r>
        <w:t xml:space="preserve"> отражаются затраты на приобретение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 (</w:t>
      </w:r>
      <w:hyperlink r:id="rId43">
        <w:r>
          <w:rPr>
            <w:color w:val="0000FF"/>
          </w:rPr>
          <w:t>пункт 18</w:t>
        </w:r>
      </w:hyperlink>
      <w:r>
        <w:t xml:space="preserve"> Примерного перечня). По </w:t>
      </w:r>
      <w:hyperlink w:anchor="P180">
        <w:r>
          <w:rPr>
            <w:color w:val="0000FF"/>
          </w:rPr>
          <w:t>строке 19</w:t>
        </w:r>
      </w:hyperlink>
      <w:r>
        <w:t xml:space="preserve"> отражаются затраты на реализацию организационных мероприятий (</w:t>
      </w:r>
      <w:hyperlink r:id="rId44">
        <w:r>
          <w:rPr>
            <w:color w:val="0000FF"/>
          </w:rPr>
          <w:t>пункты 1</w:t>
        </w:r>
      </w:hyperlink>
      <w:r>
        <w:t xml:space="preserve">, </w:t>
      </w:r>
      <w:hyperlink r:id="rId45">
        <w:r>
          <w:rPr>
            <w:color w:val="0000FF"/>
          </w:rPr>
          <w:t>23</w:t>
        </w:r>
      </w:hyperlink>
      <w:r>
        <w:t xml:space="preserve"> - </w:t>
      </w:r>
      <w:hyperlink r:id="rId46">
        <w:r>
          <w:rPr>
            <w:color w:val="0000FF"/>
          </w:rPr>
          <w:t>26</w:t>
        </w:r>
      </w:hyperlink>
      <w:r>
        <w:t xml:space="preserve">, </w:t>
      </w:r>
      <w:hyperlink r:id="rId47">
        <w:r>
          <w:rPr>
            <w:color w:val="0000FF"/>
          </w:rPr>
          <w:t>28</w:t>
        </w:r>
      </w:hyperlink>
      <w:r>
        <w:t xml:space="preserve">, </w:t>
      </w:r>
      <w:hyperlink r:id="rId48">
        <w:r>
          <w:rPr>
            <w:color w:val="0000FF"/>
          </w:rPr>
          <w:t>30</w:t>
        </w:r>
      </w:hyperlink>
      <w:r>
        <w:t xml:space="preserve"> Примерного перечня). По </w:t>
      </w:r>
      <w:hyperlink w:anchor="P184">
        <w:r>
          <w:rPr>
            <w:color w:val="0000FF"/>
          </w:rPr>
          <w:t>строке 20</w:t>
        </w:r>
      </w:hyperlink>
      <w:r>
        <w:t xml:space="preserve"> отражаются затраты на реализацию технико-технологических мероприятий (</w:t>
      </w:r>
      <w:hyperlink r:id="rId49">
        <w:r>
          <w:rPr>
            <w:color w:val="0000FF"/>
          </w:rPr>
          <w:t>пункты 2</w:t>
        </w:r>
      </w:hyperlink>
      <w:r>
        <w:t xml:space="preserve"> - </w:t>
      </w:r>
      <w:hyperlink r:id="rId50">
        <w:r>
          <w:rPr>
            <w:color w:val="0000FF"/>
          </w:rPr>
          <w:t>11</w:t>
        </w:r>
      </w:hyperlink>
      <w:r>
        <w:t xml:space="preserve">, </w:t>
      </w:r>
      <w:hyperlink r:id="rId51">
        <w:r>
          <w:rPr>
            <w:color w:val="0000FF"/>
          </w:rPr>
          <w:t>31</w:t>
        </w:r>
      </w:hyperlink>
      <w:r>
        <w:t xml:space="preserve"> - </w:t>
      </w:r>
      <w:hyperlink r:id="rId52">
        <w:r>
          <w:rPr>
            <w:color w:val="0000FF"/>
          </w:rPr>
          <w:t>33</w:t>
        </w:r>
      </w:hyperlink>
      <w:r>
        <w:t xml:space="preserve"> Примерного перечня). По </w:t>
      </w:r>
      <w:hyperlink w:anchor="P188">
        <w:r>
          <w:rPr>
            <w:color w:val="0000FF"/>
          </w:rPr>
          <w:t>строке 21</w:t>
        </w:r>
      </w:hyperlink>
      <w:r>
        <w:t xml:space="preserve"> отражаются затраты на реализацию санитарно-гигиенических мероприятий (</w:t>
      </w:r>
      <w:hyperlink r:id="rId53">
        <w:r>
          <w:rPr>
            <w:color w:val="0000FF"/>
          </w:rPr>
          <w:t>пункты 12</w:t>
        </w:r>
      </w:hyperlink>
      <w:r>
        <w:t xml:space="preserve"> - </w:t>
      </w:r>
      <w:hyperlink r:id="rId54">
        <w:r>
          <w:rPr>
            <w:color w:val="0000FF"/>
          </w:rPr>
          <w:t>17</w:t>
        </w:r>
      </w:hyperlink>
      <w:r>
        <w:t xml:space="preserve">, </w:t>
      </w:r>
      <w:hyperlink r:id="rId55">
        <w:r>
          <w:rPr>
            <w:color w:val="0000FF"/>
          </w:rPr>
          <w:t>19</w:t>
        </w:r>
      </w:hyperlink>
      <w:r>
        <w:t xml:space="preserve"> Примерного перечня). По </w:t>
      </w:r>
      <w:hyperlink w:anchor="P192">
        <w:r>
          <w:rPr>
            <w:color w:val="0000FF"/>
          </w:rPr>
          <w:t>строке 22</w:t>
        </w:r>
      </w:hyperlink>
      <w:r>
        <w:t xml:space="preserve"> отражаются затраты на подготовку работников по охране труда (</w:t>
      </w:r>
      <w:hyperlink r:id="rId56">
        <w:r>
          <w:rPr>
            <w:color w:val="0000FF"/>
          </w:rPr>
          <w:t>пункты 20</w:t>
        </w:r>
      </w:hyperlink>
      <w:r>
        <w:t xml:space="preserve"> - </w:t>
      </w:r>
      <w:hyperlink r:id="rId57">
        <w:r>
          <w:rPr>
            <w:color w:val="0000FF"/>
          </w:rPr>
          <w:t>22</w:t>
        </w:r>
      </w:hyperlink>
      <w:r>
        <w:t xml:space="preserve">, </w:t>
      </w:r>
      <w:hyperlink r:id="rId58">
        <w:r>
          <w:rPr>
            <w:color w:val="0000FF"/>
          </w:rPr>
          <w:t>27</w:t>
        </w:r>
      </w:hyperlink>
      <w:r>
        <w:t xml:space="preserve">, </w:t>
      </w:r>
      <w:hyperlink r:id="rId59">
        <w:r>
          <w:rPr>
            <w:color w:val="0000FF"/>
          </w:rPr>
          <w:t>29</w:t>
        </w:r>
      </w:hyperlink>
      <w:r>
        <w:t xml:space="preserve"> Примерного перечня). Затраты на мероприятия по охране труда заполняются по данным бухгалтерской отчетности (показываются фактические суммы расходов организации без НДС за отчетный год).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юридическим лицом в отчетном году не велась административно-хозяйственная деятельность, заполняются только </w:t>
      </w:r>
      <w:hyperlink w:anchor="P196">
        <w:r>
          <w:rPr>
            <w:color w:val="0000FF"/>
          </w:rPr>
          <w:t>строки 23</w:t>
        </w:r>
      </w:hyperlink>
      <w:r>
        <w:t xml:space="preserve"> - </w:t>
      </w:r>
      <w:hyperlink w:anchor="P205">
        <w:r>
          <w:rPr>
            <w:color w:val="0000FF"/>
          </w:rPr>
          <w:t>25</w:t>
        </w:r>
      </w:hyperlink>
      <w:r>
        <w:t>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По </w:t>
      </w:r>
      <w:hyperlink w:anchor="P196">
        <w:r>
          <w:rPr>
            <w:color w:val="0000FF"/>
          </w:rPr>
          <w:t>строке 23</w:t>
        </w:r>
      </w:hyperlink>
      <w:r>
        <w:t xml:space="preserve"> проставляется средняя численность работников, состоящая из работников </w:t>
      </w:r>
      <w:r>
        <w:lastRenderedPageBreak/>
        <w:t>списочного состава и внешних совместителей.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11. По </w:t>
      </w:r>
      <w:hyperlink w:anchor="P200">
        <w:r>
          <w:rPr>
            <w:color w:val="0000FF"/>
          </w:rPr>
          <w:t>строке 24</w:t>
        </w:r>
      </w:hyperlink>
      <w:r>
        <w:t xml:space="preserve"> проставляется средняя численность работающих женщин, состоящая из работников списочного состава и внешних совместителей (без женщин, находящихся в отпуске по беременности и родам и дополнительном отпуске по уходу за ребенком).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Работники, заключившие гражданско-правовой договор с отчитывающейся организацией, в </w:t>
      </w:r>
      <w:hyperlink w:anchor="P196">
        <w:r>
          <w:rPr>
            <w:color w:val="0000FF"/>
          </w:rPr>
          <w:t>строки 23</w:t>
        </w:r>
      </w:hyperlink>
      <w:r>
        <w:t xml:space="preserve">, </w:t>
      </w:r>
      <w:hyperlink w:anchor="P200">
        <w:r>
          <w:rPr>
            <w:color w:val="0000FF"/>
          </w:rPr>
          <w:t>24</w:t>
        </w:r>
      </w:hyperlink>
      <w:r>
        <w:t xml:space="preserve"> не включаются.</w:t>
      </w:r>
    </w:p>
    <w:p w:rsidR="005F6CEB" w:rsidRDefault="005F6CEB">
      <w:pPr>
        <w:pStyle w:val="ConsPlusNormal"/>
        <w:spacing w:before="220"/>
        <w:ind w:firstLine="540"/>
        <w:jc w:val="both"/>
      </w:pPr>
      <w:r>
        <w:t xml:space="preserve">12. </w:t>
      </w:r>
      <w:hyperlink w:anchor="P205">
        <w:r>
          <w:rPr>
            <w:color w:val="0000FF"/>
          </w:rPr>
          <w:t>Строку 25</w:t>
        </w:r>
      </w:hyperlink>
      <w:r>
        <w:t xml:space="preserve"> заполняют учреждения, организации (в том числе лечебно-профилактические организации), имеющие в штатном расписании врачей, фельдшеров, медицинских сестер, которые могут оказать первичную неотложную помощь, отмечая это как наличие здравпункта (врачебного кабинета, медико-санитарной части и тому подобное).</w:t>
      </w:r>
    </w:p>
    <w:p w:rsidR="005F6CEB" w:rsidRDefault="005F6CEB">
      <w:pPr>
        <w:pStyle w:val="ConsPlusNormal"/>
        <w:jc w:val="both"/>
      </w:pPr>
    </w:p>
    <w:sectPr w:rsidR="005F6CE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EB"/>
    <w:rsid w:val="0028699C"/>
    <w:rsid w:val="005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6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6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6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6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6C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6C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6C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6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6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6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6C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6C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6C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6C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096" TargetMode="External"/><Relationship Id="rId18" Type="http://schemas.openxmlformats.org/officeDocument/2006/relationships/hyperlink" Target="https://login.consultant.ru/link/?req=doc&amp;base=LAW&amp;n=477496&amp;dst=100254" TargetMode="External"/><Relationship Id="rId26" Type="http://schemas.openxmlformats.org/officeDocument/2006/relationships/hyperlink" Target="https://login.consultant.ru/link/?req=doc&amp;base=LAW&amp;n=477496&amp;dst=100298" TargetMode="External"/><Relationship Id="rId39" Type="http://schemas.openxmlformats.org/officeDocument/2006/relationships/hyperlink" Target="https://login.consultant.ru/link/?req=doc&amp;base=INT&amp;n=490&amp;dst=100096" TargetMode="External"/><Relationship Id="rId21" Type="http://schemas.openxmlformats.org/officeDocument/2006/relationships/hyperlink" Target="https://login.consultant.ru/link/?req=doc&amp;base=INT&amp;n=490&amp;dst=100049" TargetMode="External"/><Relationship Id="rId34" Type="http://schemas.openxmlformats.org/officeDocument/2006/relationships/hyperlink" Target="https://login.consultant.ru/link/?req=doc&amp;base=LAW&amp;n=477496&amp;dst=100298" TargetMode="External"/><Relationship Id="rId42" Type="http://schemas.openxmlformats.org/officeDocument/2006/relationships/hyperlink" Target="https://login.consultant.ru/link/?req=doc&amp;base=LAW&amp;n=402380&amp;dst=100014" TargetMode="External"/><Relationship Id="rId47" Type="http://schemas.openxmlformats.org/officeDocument/2006/relationships/hyperlink" Target="https://login.consultant.ru/link/?req=doc&amp;base=LAW&amp;n=402380&amp;dst=100042" TargetMode="External"/><Relationship Id="rId50" Type="http://schemas.openxmlformats.org/officeDocument/2006/relationships/hyperlink" Target="https://login.consultant.ru/link/?req=doc&amp;base=LAW&amp;n=402380&amp;dst=100025" TargetMode="External"/><Relationship Id="rId55" Type="http://schemas.openxmlformats.org/officeDocument/2006/relationships/hyperlink" Target="https://login.consultant.ru/link/?req=doc&amp;base=LAW&amp;n=402380&amp;dst=100033" TargetMode="External"/><Relationship Id="rId7" Type="http://schemas.openxmlformats.org/officeDocument/2006/relationships/hyperlink" Target="https://login.consultant.ru/link/?req=doc&amp;base=LAW&amp;n=483541&amp;dst=1000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5484&amp;dst=2919" TargetMode="External"/><Relationship Id="rId20" Type="http://schemas.openxmlformats.org/officeDocument/2006/relationships/hyperlink" Target="https://login.consultant.ru/link/?req=doc&amp;base=LAW&amp;n=127305" TargetMode="External"/><Relationship Id="rId29" Type="http://schemas.openxmlformats.org/officeDocument/2006/relationships/hyperlink" Target="https://login.consultant.ru/link/?req=doc&amp;base=LAW&amp;n=477496&amp;dst=100239" TargetMode="External"/><Relationship Id="rId41" Type="http://schemas.openxmlformats.org/officeDocument/2006/relationships/hyperlink" Target="https://login.consultant.ru/link/?req=doc&amp;base=LAW&amp;n=421320" TargetMode="External"/><Relationship Id="rId54" Type="http://schemas.openxmlformats.org/officeDocument/2006/relationships/hyperlink" Target="https://login.consultant.ru/link/?req=doc&amp;base=LAW&amp;n=402380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563" TargetMode="External"/><Relationship Id="rId11" Type="http://schemas.openxmlformats.org/officeDocument/2006/relationships/hyperlink" Target="https://login.consultant.ru/link/?req=doc&amp;base=LAW&amp;n=511249&amp;dst=215" TargetMode="External"/><Relationship Id="rId24" Type="http://schemas.openxmlformats.org/officeDocument/2006/relationships/hyperlink" Target="https://login.consultant.ru/link/?req=doc&amp;base=LAW&amp;n=119574&amp;dst=100053" TargetMode="External"/><Relationship Id="rId32" Type="http://schemas.openxmlformats.org/officeDocument/2006/relationships/hyperlink" Target="https://login.consultant.ru/link/?req=doc&amp;base=LAW&amp;n=119574&amp;dst=100062" TargetMode="External"/><Relationship Id="rId37" Type="http://schemas.openxmlformats.org/officeDocument/2006/relationships/hyperlink" Target="https://login.consultant.ru/link/?req=doc&amp;base=LAW&amp;n=477496&amp;dst=100239" TargetMode="External"/><Relationship Id="rId40" Type="http://schemas.openxmlformats.org/officeDocument/2006/relationships/hyperlink" Target="https://login.consultant.ru/link/?req=doc&amp;base=LAW&amp;n=119574&amp;dst=100062" TargetMode="External"/><Relationship Id="rId45" Type="http://schemas.openxmlformats.org/officeDocument/2006/relationships/hyperlink" Target="https://login.consultant.ru/link/?req=doc&amp;base=LAW&amp;n=402380&amp;dst=100037" TargetMode="External"/><Relationship Id="rId53" Type="http://schemas.openxmlformats.org/officeDocument/2006/relationships/hyperlink" Target="https://login.consultant.ru/link/?req=doc&amp;base=LAW&amp;n=402380&amp;dst=100026" TargetMode="External"/><Relationship Id="rId58" Type="http://schemas.openxmlformats.org/officeDocument/2006/relationships/hyperlink" Target="https://login.consultant.ru/link/?req=doc&amp;base=LAW&amp;n=402380&amp;dst=100041" TargetMode="External"/><Relationship Id="rId5" Type="http://schemas.openxmlformats.org/officeDocument/2006/relationships/hyperlink" Target="https://login.consultant.ru/link/?req=doc&amp;base=LAW&amp;n=517484" TargetMode="External"/><Relationship Id="rId15" Type="http://schemas.openxmlformats.org/officeDocument/2006/relationships/hyperlink" Target="https://login.consultant.ru/link/?req=doc&amp;base=LAW&amp;n=515484&amp;dst=2805" TargetMode="External"/><Relationship Id="rId23" Type="http://schemas.openxmlformats.org/officeDocument/2006/relationships/hyperlink" Target="https://login.consultant.ru/link/?req=doc&amp;base=LAW&amp;n=170485" TargetMode="External"/><Relationship Id="rId28" Type="http://schemas.openxmlformats.org/officeDocument/2006/relationships/hyperlink" Target="https://login.consultant.ru/link/?req=doc&amp;base=LAW&amp;n=119574&amp;dst=100065" TargetMode="External"/><Relationship Id="rId36" Type="http://schemas.openxmlformats.org/officeDocument/2006/relationships/hyperlink" Target="https://login.consultant.ru/link/?req=doc&amp;base=LAW&amp;n=119574&amp;dst=100065" TargetMode="External"/><Relationship Id="rId49" Type="http://schemas.openxmlformats.org/officeDocument/2006/relationships/hyperlink" Target="https://login.consultant.ru/link/?req=doc&amp;base=LAW&amp;n=402380&amp;dst=100016" TargetMode="External"/><Relationship Id="rId57" Type="http://schemas.openxmlformats.org/officeDocument/2006/relationships/hyperlink" Target="https://login.consultant.ru/link/?req=doc&amp;base=LAW&amp;n=402380&amp;dst=10003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2040&amp;dst=100173" TargetMode="External"/><Relationship Id="rId19" Type="http://schemas.openxmlformats.org/officeDocument/2006/relationships/hyperlink" Target="https://login.consultant.ru/link/?req=doc&amp;base=INT&amp;n=490" TargetMode="External"/><Relationship Id="rId31" Type="http://schemas.openxmlformats.org/officeDocument/2006/relationships/hyperlink" Target="https://login.consultant.ru/link/?req=doc&amp;base=INT&amp;n=490&amp;dst=100096" TargetMode="External"/><Relationship Id="rId44" Type="http://schemas.openxmlformats.org/officeDocument/2006/relationships/hyperlink" Target="https://login.consultant.ru/link/?req=doc&amp;base=LAW&amp;n=402380&amp;dst=100015" TargetMode="External"/><Relationship Id="rId52" Type="http://schemas.openxmlformats.org/officeDocument/2006/relationships/hyperlink" Target="https://login.consultant.ru/link/?req=doc&amp;base=LAW&amp;n=402380&amp;dst=10005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492&amp;dst=100009" TargetMode="External"/><Relationship Id="rId14" Type="http://schemas.openxmlformats.org/officeDocument/2006/relationships/hyperlink" Target="https://login.consultant.ru/link/?req=doc&amp;base=LAW&amp;n=500096&amp;dst=101545" TargetMode="External"/><Relationship Id="rId22" Type="http://schemas.openxmlformats.org/officeDocument/2006/relationships/hyperlink" Target="https://login.consultant.ru/link/?req=doc&amp;base=LAW&amp;n=119574" TargetMode="External"/><Relationship Id="rId27" Type="http://schemas.openxmlformats.org/officeDocument/2006/relationships/hyperlink" Target="https://login.consultant.ru/link/?req=doc&amp;base=INT&amp;n=490&amp;dst=100109" TargetMode="External"/><Relationship Id="rId30" Type="http://schemas.openxmlformats.org/officeDocument/2006/relationships/hyperlink" Target="https://login.consultant.ru/link/?req=doc&amp;base=LAW&amp;n=477496&amp;dst=100291" TargetMode="External"/><Relationship Id="rId35" Type="http://schemas.openxmlformats.org/officeDocument/2006/relationships/hyperlink" Target="https://login.consultant.ru/link/?req=doc&amp;base=INT&amp;n=490&amp;dst=100109" TargetMode="External"/><Relationship Id="rId43" Type="http://schemas.openxmlformats.org/officeDocument/2006/relationships/hyperlink" Target="https://login.consultant.ru/link/?req=doc&amp;base=LAW&amp;n=402380&amp;dst=100032" TargetMode="External"/><Relationship Id="rId48" Type="http://schemas.openxmlformats.org/officeDocument/2006/relationships/hyperlink" Target="https://login.consultant.ru/link/?req=doc&amp;base=LAW&amp;n=402380&amp;dst=100044" TargetMode="External"/><Relationship Id="rId56" Type="http://schemas.openxmlformats.org/officeDocument/2006/relationships/hyperlink" Target="https://login.consultant.ru/link/?req=doc&amp;base=LAW&amp;n=402380&amp;dst=100034" TargetMode="External"/><Relationship Id="rId8" Type="http://schemas.openxmlformats.org/officeDocument/2006/relationships/hyperlink" Target="https://login.consultant.ru/link/?req=doc&amp;base=LAW&amp;n=483541&amp;dst=100042" TargetMode="External"/><Relationship Id="rId51" Type="http://schemas.openxmlformats.org/officeDocument/2006/relationships/hyperlink" Target="https://login.consultant.ru/link/?req=doc&amp;base=LAW&amp;n=402380&amp;dst=1000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sbor.gks.ru/online/info" TargetMode="External"/><Relationship Id="rId17" Type="http://schemas.openxmlformats.org/officeDocument/2006/relationships/hyperlink" Target="https://login.consultant.ru/link/?req=doc&amp;base=LAW&amp;n=477496&amp;dst=100181" TargetMode="External"/><Relationship Id="rId25" Type="http://schemas.openxmlformats.org/officeDocument/2006/relationships/hyperlink" Target="https://login.consultant.ru/link/?req=doc&amp;base=LAW&amp;n=477496&amp;dst=100246" TargetMode="External"/><Relationship Id="rId33" Type="http://schemas.openxmlformats.org/officeDocument/2006/relationships/hyperlink" Target="https://login.consultant.ru/link/?req=doc&amp;base=LAW&amp;n=477496&amp;dst=100246" TargetMode="External"/><Relationship Id="rId38" Type="http://schemas.openxmlformats.org/officeDocument/2006/relationships/hyperlink" Target="https://login.consultant.ru/link/?req=doc&amp;base=LAW&amp;n=477496&amp;dst=100291" TargetMode="External"/><Relationship Id="rId46" Type="http://schemas.openxmlformats.org/officeDocument/2006/relationships/hyperlink" Target="https://login.consultant.ru/link/?req=doc&amp;base=LAW&amp;n=402380&amp;dst=100040" TargetMode="External"/><Relationship Id="rId59" Type="http://schemas.openxmlformats.org/officeDocument/2006/relationships/hyperlink" Target="https://login.consultant.ru/link/?req=doc&amp;base=LAW&amp;n=402380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2025-11-11T01:43:00Z</dcterms:created>
  <dcterms:modified xsi:type="dcterms:W3CDTF">2025-11-11T01:48:00Z</dcterms:modified>
</cp:coreProperties>
</file>