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F" w:rsidRPr="003C1CBF" w:rsidRDefault="003C1CBF" w:rsidP="003C1CBF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r w:rsidRPr="003C1CBF">
        <w:rPr>
          <w:b w:val="0"/>
          <w:bCs w:val="0"/>
          <w:color w:val="405965"/>
          <w:sz w:val="26"/>
          <w:szCs w:val="26"/>
        </w:rPr>
        <w:t>Плате</w:t>
      </w:r>
      <w:bookmarkStart w:id="0" w:name="_GoBack"/>
      <w:bookmarkEnd w:id="0"/>
      <w:r w:rsidRPr="003C1CBF">
        <w:rPr>
          <w:b w:val="0"/>
          <w:bCs w:val="0"/>
          <w:color w:val="405965"/>
          <w:sz w:val="26"/>
          <w:szCs w:val="26"/>
        </w:rPr>
        <w:t>льщики страховых взносов должны учитывать изменения налогового законодательства</w:t>
      </w:r>
    </w:p>
    <w:p w:rsidR="003C1CBF" w:rsidRPr="003C1CBF" w:rsidRDefault="003C1CBF" w:rsidP="003C1CBF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3C1CBF">
        <w:rPr>
          <w:rFonts w:ascii="Times New Roman" w:hAnsi="Times New Roman" w:cs="Times New Roman"/>
          <w:color w:val="405965"/>
          <w:sz w:val="26"/>
          <w:szCs w:val="26"/>
        </w:rPr>
        <w:t>Налоговая служба региона обращает внимание плательщиков страховых взносов, производящих выплаты и иные вознаграждения физическим лицам, на основные изменения в налоговом законодательстве, вступившие в силу с 1 января 2024 года. Так, уведомление об исчисленных суммах страховых взносов необходимо представлять не позднее 25-го числа месяца, в котором установлен срок их уплаты (п. 9 </w:t>
      </w:r>
      <w:hyperlink r:id="rId6" w:tgtFrame="_blank" w:history="1">
        <w:r w:rsidRPr="003C1CBF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ст. 58 НК РФ</w:t>
        </w:r>
      </w:hyperlink>
      <w:r w:rsidRPr="003C1CBF">
        <w:rPr>
          <w:rFonts w:ascii="Times New Roman" w:hAnsi="Times New Roman" w:cs="Times New Roman"/>
          <w:color w:val="405965"/>
          <w:sz w:val="26"/>
          <w:szCs w:val="26"/>
        </w:rPr>
        <w:t>). При этом отменена возможность перечисления денежных средств по платежному поручению непосредственно на КБК страховых взносов со статусом налогоплательщика «02». Это можно было делать только в 2023 году, который являлся переходным периодом при внедрении ЕНС. Расчет, по страховым взносам начиная с отчета за 2023 год необходимо представлять по форме, утвержденной приказом ФНС России от 29.09.2023 </w:t>
      </w:r>
      <w:hyperlink r:id="rId7" w:tgtFrame="_blank" w:history="1">
        <w:r w:rsidRPr="003C1CBF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№ЕА-7-11/696@</w:t>
        </w:r>
      </w:hyperlink>
      <w:r w:rsidRPr="003C1CBF">
        <w:rPr>
          <w:rFonts w:ascii="Times New Roman" w:hAnsi="Times New Roman" w:cs="Times New Roman"/>
          <w:color w:val="405965"/>
          <w:sz w:val="26"/>
          <w:szCs w:val="26"/>
        </w:rPr>
        <w:t> «О внесении изменений в приложения к приказу ФНС России от 29.09.2022 </w:t>
      </w:r>
      <w:hyperlink r:id="rId8" w:tgtFrame="_blank" w:history="1">
        <w:r w:rsidRPr="003C1CBF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№ЕД-7-11/878@</w:t>
        </w:r>
      </w:hyperlink>
      <w:r w:rsidRPr="003C1CBF">
        <w:rPr>
          <w:rFonts w:ascii="Times New Roman" w:hAnsi="Times New Roman" w:cs="Times New Roman"/>
          <w:color w:val="405965"/>
          <w:sz w:val="26"/>
          <w:szCs w:val="26"/>
        </w:rPr>
        <w:t>».</w:t>
      </w:r>
    </w:p>
    <w:p w:rsidR="003C1CBF" w:rsidRPr="003C1CBF" w:rsidRDefault="003C1CBF" w:rsidP="003C1CBF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3C1CBF">
        <w:rPr>
          <w:rFonts w:ascii="Times New Roman" w:hAnsi="Times New Roman" w:cs="Times New Roman"/>
          <w:color w:val="405965"/>
          <w:sz w:val="26"/>
          <w:szCs w:val="26"/>
        </w:rPr>
        <w:t>Пункт 1 </w:t>
      </w:r>
      <w:hyperlink r:id="rId9" w:tgtFrame="_blank" w:history="1">
        <w:r w:rsidRPr="003C1CBF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ст. 422 НК РФ</w:t>
        </w:r>
      </w:hyperlink>
      <w:r w:rsidRPr="003C1CBF">
        <w:rPr>
          <w:rFonts w:ascii="Times New Roman" w:hAnsi="Times New Roman" w:cs="Times New Roman"/>
          <w:color w:val="405965"/>
          <w:sz w:val="26"/>
          <w:szCs w:val="26"/>
        </w:rPr>
        <w:t xml:space="preserve"> дополнен абзацем: не подлежат обложению страховыми взносами суммы возмещения расходов дистанционных работников - не более 35 рублей за каждый день выполнения трудовой функции либо в сумме документально подтвержденных расходов. </w:t>
      </w:r>
      <w:proofErr w:type="gramStart"/>
      <w:r w:rsidRPr="003C1CBF">
        <w:rPr>
          <w:rFonts w:ascii="Times New Roman" w:hAnsi="Times New Roman" w:cs="Times New Roman"/>
          <w:color w:val="405965"/>
          <w:sz w:val="26"/>
          <w:szCs w:val="26"/>
        </w:rPr>
        <w:t>Перечень сумм, не подлежащих обложению страховыми взносами (п. 2 данной статьи), дополнен надбавками за вахтовый метод работы взамен суточных в размере, указанном в п. 1 </w:t>
      </w:r>
      <w:hyperlink r:id="rId10" w:tgtFrame="_blank" w:history="1">
        <w:r w:rsidRPr="003C1CBF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ст. 217 НК РФ</w:t>
        </w:r>
      </w:hyperlink>
      <w:r w:rsidRPr="003C1CBF">
        <w:rPr>
          <w:rFonts w:ascii="Times New Roman" w:hAnsi="Times New Roman" w:cs="Times New Roman"/>
          <w:color w:val="405965"/>
          <w:sz w:val="26"/>
          <w:szCs w:val="26"/>
        </w:rPr>
        <w:t>, то есть не более 700 рублей за каждый день нахождения на вахте на территории Российской Федерации (не более 2,5 тыс. рублей за каждый день за пределами страны).</w:t>
      </w:r>
      <w:proofErr w:type="gramEnd"/>
    </w:p>
    <w:p w:rsidR="003C1CBF" w:rsidRPr="003C1CBF" w:rsidRDefault="003C1CBF" w:rsidP="003C1CBF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3C1CBF">
        <w:rPr>
          <w:rFonts w:ascii="Times New Roman" w:hAnsi="Times New Roman" w:cs="Times New Roman"/>
          <w:color w:val="405965"/>
          <w:sz w:val="26"/>
          <w:szCs w:val="26"/>
        </w:rPr>
        <w:t>Определен размер страховых взносов, уплачиваемых плательщиками, не производящими выплаты, и иных вознаграждений физическим лицам (</w:t>
      </w:r>
      <w:hyperlink r:id="rId11" w:tgtFrame="_blank" w:history="1">
        <w:r w:rsidRPr="003C1CBF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ст. 430 НК РФ</w:t>
        </w:r>
      </w:hyperlink>
      <w:r w:rsidRPr="003C1CBF">
        <w:rPr>
          <w:rFonts w:ascii="Times New Roman" w:hAnsi="Times New Roman" w:cs="Times New Roman"/>
          <w:color w:val="405965"/>
          <w:sz w:val="26"/>
          <w:szCs w:val="26"/>
        </w:rPr>
        <w:t>) за расчетный период 2024 года – 49,5 тыс. рублей. Также в случае, если величина дохода плательщика за 2024 года превысит 300 тыс. рублей, размер страховых взносов на обязательное пенсионное страхование не может быть более 277 571 рубля.</w:t>
      </w:r>
    </w:p>
    <w:p w:rsidR="003C1CBF" w:rsidRPr="003C1CBF" w:rsidRDefault="003C1CBF" w:rsidP="003C1CBF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3C1CBF">
        <w:rPr>
          <w:rFonts w:ascii="Times New Roman" w:hAnsi="Times New Roman" w:cs="Times New Roman"/>
          <w:color w:val="405965"/>
          <w:sz w:val="26"/>
          <w:szCs w:val="26"/>
        </w:rPr>
        <w:t>Предельная величина базы для исчисления страховых взносов в отношении каждого физического лица составляет сумму, не превышающую 2,225 тыс. рублей нарастающим итогом с 1 января 2024 года (Постановление Правительства Российской Федерации от 10.11.2023 </w:t>
      </w:r>
      <w:hyperlink r:id="rId12" w:tgtFrame="_blank" w:history="1">
        <w:r w:rsidRPr="003C1CBF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№1883</w:t>
        </w:r>
      </w:hyperlink>
      <w:r w:rsidRPr="003C1CBF">
        <w:rPr>
          <w:rFonts w:ascii="Times New Roman" w:hAnsi="Times New Roman" w:cs="Times New Roman"/>
          <w:color w:val="405965"/>
          <w:sz w:val="26"/>
          <w:szCs w:val="26"/>
        </w:rPr>
        <w:t>). В 2023 году она составляла 1,917 тыс. рублей.</w:t>
      </w:r>
    </w:p>
    <w:p w:rsidR="003C1CBF" w:rsidRPr="003C1CBF" w:rsidRDefault="003C1CBF" w:rsidP="003C1CBF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3C1CBF">
        <w:rPr>
          <w:rFonts w:ascii="Times New Roman" w:hAnsi="Times New Roman" w:cs="Times New Roman"/>
          <w:color w:val="405965"/>
          <w:sz w:val="26"/>
          <w:szCs w:val="26"/>
        </w:rPr>
        <w:t>Расширен перечень категорий плательщиков, обязанных представлять отчетность по страховым взносам, в том числе в нее включены налогоплательщики, отнесенные к крупнейшим (п. 7 </w:t>
      </w:r>
      <w:hyperlink r:id="rId13" w:tgtFrame="_blank" w:history="1">
        <w:r w:rsidRPr="003C1CBF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ст. 431 НК РФ</w:t>
        </w:r>
      </w:hyperlink>
      <w:r w:rsidRPr="003C1CBF">
        <w:rPr>
          <w:rFonts w:ascii="Times New Roman" w:hAnsi="Times New Roman" w:cs="Times New Roman"/>
          <w:color w:val="405965"/>
          <w:sz w:val="26"/>
          <w:szCs w:val="26"/>
        </w:rPr>
        <w:t>).</w:t>
      </w:r>
    </w:p>
    <w:p w:rsidR="003C1CBF" w:rsidRPr="003C1CBF" w:rsidRDefault="003C1CBF" w:rsidP="003C1CBF">
      <w:pPr>
        <w:shd w:val="clear" w:color="auto" w:fill="FFFFFF"/>
        <w:jc w:val="both"/>
        <w:rPr>
          <w:rFonts w:ascii="Times New Roman" w:hAnsi="Times New Roman" w:cs="Times New Roman"/>
          <w:color w:val="405965"/>
          <w:sz w:val="26"/>
          <w:szCs w:val="26"/>
        </w:rPr>
      </w:pPr>
      <w:r w:rsidRPr="003C1CBF">
        <w:rPr>
          <w:rFonts w:ascii="Times New Roman" w:hAnsi="Times New Roman" w:cs="Times New Roman"/>
          <w:color w:val="405965"/>
          <w:sz w:val="26"/>
          <w:szCs w:val="26"/>
        </w:rPr>
        <w:lastRenderedPageBreak/>
        <w:t>Исчисленные суммы страховых взносов за календарный месяц необходимо перечислять в составе единого налогового платежа (ЕНП) в срок не позднее 28-го числа следующего календарного месяца (ст. 431 НК РФ). По общему правилу, если срок уплаты совпадает с выходным или праздничным днем, то он переносится на следующий за ним рабочий день (</w:t>
      </w:r>
      <w:hyperlink r:id="rId14" w:tgtFrame="_blank" w:history="1">
        <w:r w:rsidRPr="003C1CBF">
          <w:rPr>
            <w:rStyle w:val="a4"/>
            <w:rFonts w:ascii="Times New Roman" w:hAnsi="Times New Roman" w:cs="Times New Roman"/>
            <w:color w:val="0066B3"/>
            <w:sz w:val="26"/>
            <w:szCs w:val="26"/>
            <w:u w:val="none"/>
          </w:rPr>
          <w:t>ст. 6.1 НК РФ</w:t>
        </w:r>
      </w:hyperlink>
      <w:r w:rsidRPr="003C1CBF">
        <w:rPr>
          <w:rFonts w:ascii="Times New Roman" w:hAnsi="Times New Roman" w:cs="Times New Roman"/>
          <w:color w:val="405965"/>
          <w:sz w:val="26"/>
          <w:szCs w:val="26"/>
        </w:rPr>
        <w:t>).</w:t>
      </w:r>
    </w:p>
    <w:p w:rsidR="000C79FC" w:rsidRPr="00400BA7" w:rsidRDefault="000C79FC" w:rsidP="00400BA7"/>
    <w:sectPr w:rsidR="000C79FC" w:rsidRPr="0040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3273"/>
    <w:multiLevelType w:val="multilevel"/>
    <w:tmpl w:val="5AC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F0FC3"/>
    <w:multiLevelType w:val="multilevel"/>
    <w:tmpl w:val="9E0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D6"/>
    <w:rsid w:val="000C79FC"/>
    <w:rsid w:val="003C1CBF"/>
    <w:rsid w:val="00400BA7"/>
    <w:rsid w:val="00C15FD6"/>
    <w:rsid w:val="00E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9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48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6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0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1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1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6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10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8/about_fts/docs/12783766/" TargetMode="External"/><Relationship Id="rId13" Type="http://schemas.openxmlformats.org/officeDocument/2006/relationships/hyperlink" Target="http://nalog.garant.ru/fns/nk/23e49d47fcc69dbc2ae38897d844c8d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38/about_fts/docs/13971119/" TargetMode="External"/><Relationship Id="rId12" Type="http://schemas.openxmlformats.org/officeDocument/2006/relationships/hyperlink" Target="http://publication.pravo.gov.ru/document/00012023111400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f5aeb9844a3cec55dca4cf7554741a3/" TargetMode="External"/><Relationship Id="rId11" Type="http://schemas.openxmlformats.org/officeDocument/2006/relationships/hyperlink" Target="http://nalog.garant.ru/fns/nk/25251f9c341b4b29fabf5cb7957c59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log.garant.ru/fns/nk/4132834011083186a07350b1579a99a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ea49f56056c7214648748d616ab706ed/" TargetMode="External"/><Relationship Id="rId14" Type="http://schemas.openxmlformats.org/officeDocument/2006/relationships/hyperlink" Target="http://nalog.garant.ru/fns/nk/f533d167513979e2d229fe32a1897b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2024-02-14T09:04:00Z</dcterms:created>
  <dcterms:modified xsi:type="dcterms:W3CDTF">2024-02-14T09:04:00Z</dcterms:modified>
</cp:coreProperties>
</file>